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04F5C050" w14:textId="1CCFF9BA"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w:t>
      </w:r>
      <w:r w:rsidR="002F2B43" w:rsidRPr="002F2B43">
        <w:rPr>
          <w:rFonts w:ascii="Times New Roman" w:hAnsi="Times New Roman"/>
          <w:b/>
          <w:lang w:val="en-US"/>
        </w:rPr>
        <w:t>Development of natural gas and APG processing and use technologies</w:t>
      </w:r>
      <w:r w:rsidR="002F2B43">
        <w:rPr>
          <w:rFonts w:ascii="Times New Roman" w:hAnsi="Times New Roman"/>
          <w:b/>
          <w:lang w:val="en-US"/>
        </w:rPr>
        <w:t>’</w:t>
      </w:r>
    </w:p>
    <w:p w14:paraId="62DF7A5A" w14:textId="77777777" w:rsidR="00933F77" w:rsidRPr="00831409" w:rsidRDefault="00933F77" w:rsidP="003F5FA4">
      <w:pPr>
        <w:spacing w:after="0" w:line="240" w:lineRule="auto"/>
        <w:jc w:val="center"/>
        <w:rPr>
          <w:rFonts w:ascii="Times New Roman" w:hAnsi="Times New Roman"/>
          <w:b/>
          <w:lang w:val="en-US"/>
        </w:rPr>
      </w:pP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1D60BFA0" w14:textId="142A040C" w:rsidR="00304D9E" w:rsidRDefault="002F2B43" w:rsidP="002F2B43">
      <w:pPr>
        <w:pStyle w:val="a5"/>
        <w:spacing w:after="0"/>
        <w:ind w:left="0"/>
        <w:rPr>
          <w:rFonts w:ascii="Times New Roman" w:hAnsi="Times New Roman"/>
          <w:lang w:val="en-US"/>
        </w:rPr>
      </w:pPr>
      <w:r w:rsidRPr="002F2B43">
        <w:rPr>
          <w:rFonts w:ascii="Times New Roman" w:hAnsi="Times New Roman"/>
          <w:lang w:val="en-US"/>
        </w:rPr>
        <w:t xml:space="preserve">Developing a prototype and a set of technical documentation </w:t>
      </w:r>
      <w:proofErr w:type="gramStart"/>
      <w:r w:rsidRPr="002F2B43">
        <w:rPr>
          <w:rFonts w:ascii="Times New Roman" w:hAnsi="Times New Roman"/>
          <w:lang w:val="en-US"/>
        </w:rPr>
        <w:t>for an electric energy storage systems</w:t>
      </w:r>
      <w:proofErr w:type="gramEnd"/>
      <w:r w:rsidRPr="002F2B43">
        <w:rPr>
          <w:rFonts w:ascii="Times New Roman" w:hAnsi="Times New Roman"/>
          <w:lang w:val="en-US"/>
        </w:rPr>
        <w:t xml:space="preserve"> that can store at least 250 kWh of electric power and can be recharged at least 3,000 times at recharge/discharge currents of at least 3C and offering minimal mass production costs.</w:t>
      </w:r>
    </w:p>
    <w:p w14:paraId="04994FC7" w14:textId="77777777" w:rsidR="002F2B43" w:rsidRPr="00831409" w:rsidRDefault="002F2B43" w:rsidP="002F2B43">
      <w:pPr>
        <w:pStyle w:val="a5"/>
        <w:spacing w:after="0"/>
        <w:ind w:left="0"/>
        <w:rPr>
          <w:rFonts w:ascii="Times New Roman" w:hAnsi="Times New Roman"/>
          <w:lang w:val="en-US"/>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5DF80B89" w:rsidR="0092508F" w:rsidRPr="00831409" w:rsidRDefault="00F92099" w:rsidP="0092508F">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2F2B43" w:rsidRPr="002F2B43">
        <w:rPr>
          <w:rFonts w:ascii="Times New Roman" w:hAnsi="Times New Roman"/>
          <w:lang w:val="en-US"/>
        </w:rPr>
        <w:t>Gazprom</w:t>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7018F97F" w14:textId="77777777" w:rsidR="002F2B43" w:rsidRPr="002F2B43" w:rsidRDefault="002F2B43" w:rsidP="002F2B43">
      <w:pPr>
        <w:pStyle w:val="listparagraph"/>
        <w:ind w:left="0" w:firstLine="708"/>
        <w:jc w:val="both"/>
        <w:rPr>
          <w:rFonts w:ascii="Times New Roman" w:hAnsi="Times New Roman"/>
          <w:sz w:val="22"/>
          <w:szCs w:val="22"/>
          <w:lang w:val="en-AU"/>
        </w:rPr>
      </w:pPr>
      <w:r w:rsidRPr="002F2B43">
        <w:rPr>
          <w:rFonts w:ascii="Times New Roman" w:hAnsi="Times New Roman"/>
          <w:sz w:val="22"/>
          <w:szCs w:val="22"/>
          <w:lang w:val="en-AU"/>
        </w:rPr>
        <w:t>Modern power grids are often faced with a situation where the generated electric power is not enough for all the consumers connected to the grid (industrial companies, residential districts, construction sites etc.). Uneven load, peak loads and high modernisation costs of power grids mean that there are very limited options for procuring additional electric power on short notice.</w:t>
      </w:r>
    </w:p>
    <w:p w14:paraId="09288210" w14:textId="77777777" w:rsidR="002F2B43" w:rsidRPr="002F2B43" w:rsidRDefault="002F2B43" w:rsidP="002F2B43">
      <w:pPr>
        <w:pStyle w:val="listparagraph"/>
        <w:ind w:left="0" w:firstLine="708"/>
        <w:jc w:val="both"/>
        <w:rPr>
          <w:rFonts w:ascii="Times New Roman" w:hAnsi="Times New Roman"/>
          <w:sz w:val="22"/>
          <w:szCs w:val="22"/>
          <w:lang w:val="en-AU"/>
        </w:rPr>
      </w:pPr>
      <w:r w:rsidRPr="002F2B43">
        <w:rPr>
          <w:rFonts w:ascii="Times New Roman" w:hAnsi="Times New Roman"/>
          <w:sz w:val="22"/>
          <w:szCs w:val="22"/>
          <w:lang w:val="en-AU"/>
        </w:rPr>
        <w:t xml:space="preserve">Where centralised power supply can be disconnected, autonomous reserve sources of electric power are used. These normally utilise diesel generators or other equally inefficient sources of energy. When local generators are used the cost of electric power for the consumer is usually extremely high because of high fuel and operating costs and a limit service life of the generator. </w:t>
      </w:r>
    </w:p>
    <w:p w14:paraId="72125C21" w14:textId="77777777" w:rsidR="002F2B43" w:rsidRPr="002F2B43" w:rsidRDefault="002F2B43" w:rsidP="002F2B43">
      <w:pPr>
        <w:pStyle w:val="listparagraph"/>
        <w:ind w:left="0" w:firstLine="708"/>
        <w:jc w:val="both"/>
        <w:rPr>
          <w:rFonts w:ascii="Times New Roman" w:hAnsi="Times New Roman"/>
          <w:sz w:val="22"/>
          <w:szCs w:val="22"/>
          <w:lang w:val="en-AU"/>
        </w:rPr>
      </w:pPr>
      <w:r w:rsidRPr="002F2B43">
        <w:rPr>
          <w:rFonts w:ascii="Times New Roman" w:hAnsi="Times New Roman"/>
          <w:sz w:val="22"/>
          <w:szCs w:val="22"/>
          <w:lang w:val="en-AU"/>
        </w:rPr>
        <w:lastRenderedPageBreak/>
        <w:t xml:space="preserve">One of the most efficient ways to meet the demand for electric power during peak times is to store large amounts of electric power generated during slow periods for later consumption. The solutions currently available on the market (electric power accumulation systems based on lithium-ion or alkaline batteries) do not offer the kinds of features that would allow them to be used in power grids. The contest aims </w:t>
      </w:r>
      <w:r w:rsidRPr="002F2B43">
        <w:rPr>
          <w:rFonts w:ascii="Times New Roman" w:hAnsi="Times New Roman"/>
          <w:sz w:val="22"/>
          <w:szCs w:val="22"/>
          <w:lang w:val="en-US"/>
        </w:rPr>
        <w:t>at</w:t>
      </w:r>
      <w:r w:rsidRPr="002F2B43">
        <w:rPr>
          <w:rFonts w:ascii="Times New Roman" w:hAnsi="Times New Roman"/>
          <w:sz w:val="22"/>
          <w:szCs w:val="22"/>
          <w:lang w:val="en-AU"/>
        </w:rPr>
        <w:t xml:space="preserve"> developing a turn-key solution for use in existing power grids that also meets the requirements of potential customers: power grid companies, power generation companies and electricity consumers. Analysts estimate that the market for electric power accumulators for power grids exceeded USD 1 billion in 2011 and over the next 10 years it is projected to be growing at an annual rate of 30%, exceeding USD 25 billion in 2020. </w:t>
      </w:r>
    </w:p>
    <w:p w14:paraId="61C04C8D" w14:textId="77777777" w:rsidR="00752D59" w:rsidRPr="00304D9E" w:rsidRDefault="00752D59" w:rsidP="00752D59">
      <w:pPr>
        <w:rPr>
          <w:rFonts w:ascii="Times New Roman" w:hAnsi="Times New Roman"/>
          <w:highlight w:val="yellow"/>
          <w:lang w:val="en-AU"/>
        </w:rPr>
      </w:pP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1F978054"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2F2B43" w:rsidRPr="002F2B43">
        <w:rPr>
          <w:rFonts w:ascii="Times New Roman" w:hAnsi="Times New Roman"/>
          <w:b/>
          <w:lang w:val="en-US"/>
        </w:rPr>
        <w:t>Development of natural gas and APG processing and use technologies</w:t>
      </w:r>
      <w:r w:rsidR="00515CDD" w:rsidRPr="00831409">
        <w:rPr>
          <w:rFonts w:ascii="Times New Roman" w:hAnsi="Times New Roman"/>
          <w:b/>
          <w:lang w:val="en-US"/>
        </w:rPr>
        <w:t>’</w:t>
      </w:r>
      <w:r w:rsidR="0043495B" w:rsidRPr="009F1F3C">
        <w:rPr>
          <w:rFonts w:ascii="Times New Roman" w:eastAsiaTheme="majorEastAsia" w:hAnsi="Times New Roman" w:cs="Times New Roman"/>
          <w:bCs/>
          <w:lang w:val="en-US"/>
        </w:rPr>
        <w:t xml:space="preserve"> 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788A37C6" w14:textId="7F759EBA" w:rsidR="00BE398C" w:rsidRPr="00A47841" w:rsidRDefault="00072EA4" w:rsidP="00BE398C">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13E82FEF" w14:textId="77777777" w:rsidR="00A47841" w:rsidRPr="00D53DE5" w:rsidRDefault="00A47841" w:rsidP="00A47841">
      <w:pPr>
        <w:pStyle w:val="listparagraph"/>
        <w:spacing w:line="360" w:lineRule="auto"/>
        <w:ind w:left="1134"/>
        <w:jc w:val="both"/>
        <w:rPr>
          <w:rFonts w:ascii="Times New Roman" w:hAnsi="Times New Roman"/>
          <w:sz w:val="22"/>
        </w:rPr>
      </w:pPr>
    </w:p>
    <w:p w14:paraId="1AF73EC7" w14:textId="77777777" w:rsidR="002F2B43" w:rsidRPr="002F2B43" w:rsidRDefault="002F2B43" w:rsidP="00A47841">
      <w:pPr>
        <w:pStyle w:val="listparagraph"/>
        <w:numPr>
          <w:ilvl w:val="0"/>
          <w:numId w:val="23"/>
        </w:numPr>
        <w:tabs>
          <w:tab w:val="left" w:pos="567"/>
        </w:tabs>
        <w:spacing w:line="360" w:lineRule="auto"/>
        <w:ind w:left="709"/>
        <w:jc w:val="both"/>
        <w:rPr>
          <w:rFonts w:ascii="Times New Roman" w:hAnsi="Times New Roman"/>
          <w:sz w:val="22"/>
          <w:szCs w:val="22"/>
          <w:lang w:val="en-AU"/>
        </w:rPr>
      </w:pPr>
      <w:r w:rsidRPr="002F2B43">
        <w:rPr>
          <w:rFonts w:ascii="Times New Roman" w:hAnsi="Times New Roman"/>
          <w:sz w:val="22"/>
          <w:szCs w:val="22"/>
          <w:lang w:val="en-AU"/>
        </w:rPr>
        <w:t>A prototype of electric energy</w:t>
      </w:r>
      <w:r w:rsidRPr="002F2B43">
        <w:rPr>
          <w:rFonts w:ascii="Times New Roman" w:hAnsi="Times New Roman"/>
          <w:sz w:val="22"/>
          <w:szCs w:val="22"/>
          <w:lang w:val="en-US"/>
        </w:rPr>
        <w:t xml:space="preserve"> </w:t>
      </w:r>
      <w:r w:rsidRPr="002F2B43">
        <w:rPr>
          <w:rFonts w:ascii="Times New Roman" w:hAnsi="Times New Roman"/>
          <w:sz w:val="22"/>
          <w:szCs w:val="22"/>
          <w:lang w:val="en-AU"/>
        </w:rPr>
        <w:t xml:space="preserve">storage system; </w:t>
      </w:r>
    </w:p>
    <w:p w14:paraId="4E27A16F" w14:textId="77777777" w:rsidR="00A47841" w:rsidRDefault="002F2B43" w:rsidP="00A47841">
      <w:pPr>
        <w:pStyle w:val="listparagraph"/>
        <w:numPr>
          <w:ilvl w:val="0"/>
          <w:numId w:val="23"/>
        </w:numPr>
        <w:tabs>
          <w:tab w:val="left" w:pos="567"/>
          <w:tab w:val="left" w:pos="993"/>
        </w:tabs>
        <w:spacing w:line="360" w:lineRule="auto"/>
        <w:ind w:left="709"/>
        <w:jc w:val="both"/>
        <w:rPr>
          <w:rFonts w:ascii="Times New Roman" w:hAnsi="Times New Roman"/>
          <w:sz w:val="22"/>
          <w:szCs w:val="22"/>
          <w:lang w:val="en-AU"/>
        </w:rPr>
      </w:pPr>
      <w:r w:rsidRPr="002F2B43">
        <w:rPr>
          <w:rFonts w:ascii="Times New Roman" w:hAnsi="Times New Roman"/>
          <w:sz w:val="22"/>
          <w:szCs w:val="22"/>
          <w:lang w:val="en-AU"/>
        </w:rPr>
        <w:t>Solutions for integrating the new power accumulation system into existing power grid;</w:t>
      </w:r>
    </w:p>
    <w:p w14:paraId="40A211D7" w14:textId="61690766" w:rsidR="002F2B43" w:rsidRPr="002F2B43" w:rsidRDefault="002F2B43" w:rsidP="00A47841">
      <w:pPr>
        <w:pStyle w:val="listparagraph"/>
        <w:numPr>
          <w:ilvl w:val="0"/>
          <w:numId w:val="23"/>
        </w:numPr>
        <w:tabs>
          <w:tab w:val="left" w:pos="567"/>
          <w:tab w:val="left" w:pos="993"/>
        </w:tabs>
        <w:spacing w:line="360" w:lineRule="auto"/>
        <w:ind w:left="709"/>
        <w:jc w:val="both"/>
        <w:rPr>
          <w:rFonts w:ascii="Times New Roman" w:hAnsi="Times New Roman"/>
          <w:sz w:val="22"/>
          <w:szCs w:val="22"/>
          <w:lang w:val="en-AU"/>
        </w:rPr>
      </w:pPr>
      <w:r w:rsidRPr="002F2B43">
        <w:rPr>
          <w:rFonts w:ascii="Times New Roman" w:hAnsi="Times New Roman"/>
          <w:sz w:val="22"/>
          <w:szCs w:val="22"/>
          <w:lang w:val="en-AU"/>
        </w:rPr>
        <w:t>A set of technical documentation for the energy</w:t>
      </w:r>
      <w:r w:rsidRPr="002F2B43">
        <w:rPr>
          <w:rFonts w:ascii="Times New Roman" w:hAnsi="Times New Roman"/>
          <w:sz w:val="22"/>
          <w:szCs w:val="22"/>
          <w:lang w:val="en-US"/>
        </w:rPr>
        <w:t xml:space="preserve"> </w:t>
      </w:r>
      <w:r w:rsidRPr="002F2B43">
        <w:rPr>
          <w:rFonts w:ascii="Times New Roman" w:hAnsi="Times New Roman"/>
          <w:sz w:val="22"/>
          <w:szCs w:val="22"/>
          <w:lang w:val="en-AU"/>
        </w:rPr>
        <w:t>storage systems;</w:t>
      </w:r>
    </w:p>
    <w:p w14:paraId="4D9C0E93" w14:textId="77777777" w:rsidR="00304D9E" w:rsidRPr="002F2B43" w:rsidRDefault="00304D9E" w:rsidP="00304D9E">
      <w:pPr>
        <w:rPr>
          <w:lang w:val="en-AU"/>
        </w:rPr>
      </w:pPr>
    </w:p>
    <w:p w14:paraId="048B93F0" w14:textId="77777777" w:rsidR="00BE398C" w:rsidRPr="00831409" w:rsidRDefault="00BE398C" w:rsidP="006E3AD8">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Expected concept implementation results:</w:t>
      </w:r>
    </w:p>
    <w:p w14:paraId="48C150F7" w14:textId="77777777" w:rsidR="00A47841" w:rsidRPr="00A47841" w:rsidRDefault="00A47841" w:rsidP="00A47841">
      <w:pPr>
        <w:pStyle w:val="listparagraph"/>
        <w:numPr>
          <w:ilvl w:val="0"/>
          <w:numId w:val="24"/>
        </w:numPr>
        <w:tabs>
          <w:tab w:val="left" w:pos="993"/>
        </w:tabs>
        <w:spacing w:line="360" w:lineRule="auto"/>
        <w:ind w:left="709" w:hanging="283"/>
        <w:jc w:val="both"/>
        <w:rPr>
          <w:rFonts w:ascii="Times New Roman" w:hAnsi="Times New Roman"/>
          <w:sz w:val="22"/>
          <w:lang w:val="en-US"/>
        </w:rPr>
      </w:pPr>
      <w:r w:rsidRPr="00A47841">
        <w:rPr>
          <w:rFonts w:ascii="Times New Roman" w:hAnsi="Times New Roman"/>
          <w:sz w:val="22"/>
          <w:lang w:val="en-US"/>
        </w:rPr>
        <w:t xml:space="preserve">The accumulator must have capacity of at least 250 kWh; </w:t>
      </w:r>
    </w:p>
    <w:p w14:paraId="3B4BE94D" w14:textId="77777777" w:rsidR="00A47841" w:rsidRPr="00A47841" w:rsidRDefault="00A47841" w:rsidP="00A47841">
      <w:pPr>
        <w:pStyle w:val="listparagraph"/>
        <w:numPr>
          <w:ilvl w:val="0"/>
          <w:numId w:val="24"/>
        </w:numPr>
        <w:tabs>
          <w:tab w:val="left" w:pos="993"/>
        </w:tabs>
        <w:spacing w:line="360" w:lineRule="auto"/>
        <w:ind w:left="709" w:hanging="283"/>
        <w:jc w:val="both"/>
        <w:rPr>
          <w:rFonts w:ascii="Times New Roman" w:hAnsi="Times New Roman"/>
          <w:sz w:val="22"/>
          <w:lang w:val="en-US"/>
        </w:rPr>
      </w:pPr>
      <w:r w:rsidRPr="00A47841">
        <w:rPr>
          <w:rFonts w:ascii="Times New Roman" w:hAnsi="Times New Roman"/>
          <w:sz w:val="22"/>
          <w:lang w:val="en-US"/>
        </w:rPr>
        <w:t>The accumulator must be capable of being charged/discharged at least 3,000 times;</w:t>
      </w:r>
    </w:p>
    <w:p w14:paraId="6A41F315" w14:textId="77777777" w:rsidR="00A47841" w:rsidRPr="00A47841" w:rsidRDefault="00A47841" w:rsidP="00A47841">
      <w:pPr>
        <w:pStyle w:val="listparagraph"/>
        <w:numPr>
          <w:ilvl w:val="0"/>
          <w:numId w:val="24"/>
        </w:numPr>
        <w:tabs>
          <w:tab w:val="left" w:pos="993"/>
        </w:tabs>
        <w:spacing w:line="360" w:lineRule="auto"/>
        <w:ind w:left="709" w:hanging="283"/>
        <w:jc w:val="both"/>
        <w:rPr>
          <w:rFonts w:ascii="Times New Roman" w:hAnsi="Times New Roman"/>
          <w:sz w:val="22"/>
          <w:lang w:val="en-US"/>
        </w:rPr>
      </w:pPr>
      <w:r w:rsidRPr="00A47841">
        <w:rPr>
          <w:rFonts w:ascii="Times New Roman" w:hAnsi="Times New Roman"/>
          <w:sz w:val="22"/>
          <w:lang w:val="en-US"/>
        </w:rPr>
        <w:t>The permitted charge/discharge currents must be at least 3C;</w:t>
      </w:r>
    </w:p>
    <w:p w14:paraId="7F174ABC" w14:textId="77777777" w:rsidR="00A47841" w:rsidRPr="00A47841" w:rsidRDefault="00A47841" w:rsidP="00A47841">
      <w:pPr>
        <w:pStyle w:val="listparagraph"/>
        <w:numPr>
          <w:ilvl w:val="0"/>
          <w:numId w:val="24"/>
        </w:numPr>
        <w:tabs>
          <w:tab w:val="left" w:pos="993"/>
        </w:tabs>
        <w:spacing w:line="360" w:lineRule="auto"/>
        <w:ind w:left="709" w:hanging="283"/>
        <w:jc w:val="both"/>
        <w:rPr>
          <w:rFonts w:ascii="Times New Roman" w:hAnsi="Times New Roman"/>
          <w:sz w:val="22"/>
          <w:lang w:val="en-US"/>
        </w:rPr>
      </w:pPr>
      <w:r w:rsidRPr="00A47841">
        <w:rPr>
          <w:rFonts w:ascii="Times New Roman" w:hAnsi="Times New Roman"/>
          <w:sz w:val="22"/>
          <w:lang w:val="en-US"/>
        </w:rPr>
        <w:t>The turn-key solution must include the following components: power batteries, invertors, accumulation control and management systems featuring active balancing; components ensuring continuous operation, remote monitoring systems;</w:t>
      </w:r>
    </w:p>
    <w:p w14:paraId="3B9B13E5" w14:textId="77777777" w:rsidR="00A47841" w:rsidRPr="00A47841" w:rsidRDefault="00A47841" w:rsidP="00A47841">
      <w:pPr>
        <w:pStyle w:val="listparagraph"/>
        <w:numPr>
          <w:ilvl w:val="0"/>
          <w:numId w:val="24"/>
        </w:numPr>
        <w:tabs>
          <w:tab w:val="left" w:pos="993"/>
        </w:tabs>
        <w:spacing w:line="360" w:lineRule="auto"/>
        <w:ind w:left="709" w:hanging="283"/>
        <w:jc w:val="both"/>
        <w:rPr>
          <w:rFonts w:ascii="Times New Roman" w:hAnsi="Times New Roman"/>
          <w:sz w:val="22"/>
          <w:lang w:val="en-US"/>
        </w:rPr>
      </w:pPr>
      <w:r w:rsidRPr="00A47841">
        <w:rPr>
          <w:rFonts w:ascii="Times New Roman" w:hAnsi="Times New Roman"/>
          <w:sz w:val="22"/>
          <w:lang w:val="en-US"/>
        </w:rPr>
        <w:lastRenderedPageBreak/>
        <w:t xml:space="preserve">The active to reactive power ratio in the accumulator grid must conform to the standard value of 20-0.4 kWh. </w:t>
      </w:r>
    </w:p>
    <w:p w14:paraId="47570CEF" w14:textId="77777777" w:rsidR="00A47841" w:rsidRPr="00A47841" w:rsidRDefault="00A47841" w:rsidP="00A47841">
      <w:pPr>
        <w:pStyle w:val="listparagraph"/>
        <w:tabs>
          <w:tab w:val="left" w:pos="993"/>
        </w:tabs>
        <w:ind w:left="709"/>
        <w:jc w:val="both"/>
        <w:rPr>
          <w:rFonts w:ascii="Times New Roman" w:hAnsi="Times New Roman"/>
          <w:sz w:val="22"/>
          <w:lang w:val="en-US"/>
        </w:rPr>
      </w:pPr>
    </w:p>
    <w:p w14:paraId="6D7534C0" w14:textId="77777777" w:rsidR="00304D9E" w:rsidRPr="00304D9E" w:rsidRDefault="00304D9E" w:rsidP="00304D9E">
      <w:pPr>
        <w:pStyle w:val="listparagraph"/>
        <w:tabs>
          <w:tab w:val="left" w:pos="993"/>
        </w:tabs>
        <w:ind w:left="709"/>
        <w:jc w:val="both"/>
        <w:rPr>
          <w:rFonts w:ascii="Times New Roman" w:hAnsi="Times New Roman"/>
          <w:sz w:val="22"/>
          <w:lang w:val="en-US"/>
        </w:rPr>
      </w:pPr>
    </w:p>
    <w:p w14:paraId="2CD3AAAB" w14:textId="4475A47C" w:rsidR="008821A0" w:rsidRDefault="00304D9E" w:rsidP="00304D9E">
      <w:pPr>
        <w:pStyle w:val="listparagraph"/>
        <w:tabs>
          <w:tab w:val="left" w:pos="993"/>
        </w:tabs>
        <w:ind w:left="709"/>
        <w:jc w:val="both"/>
        <w:rPr>
          <w:rFonts w:ascii="Times New Roman" w:hAnsi="Times New Roman"/>
          <w:sz w:val="22"/>
          <w:lang w:val="en-US"/>
        </w:rPr>
      </w:pPr>
      <w:r w:rsidRPr="00304D9E">
        <w:rPr>
          <w:rFonts w:ascii="Times New Roman" w:hAnsi="Times New Roman"/>
          <w:sz w:val="22"/>
          <w:lang w:val="en-US"/>
        </w:rPr>
        <w:t>The design must offer real competitive advantages over all other solutions of the kind currently available on the market to justify its implementation.</w:t>
      </w:r>
    </w:p>
    <w:p w14:paraId="7033F0C0" w14:textId="77777777" w:rsidR="00304D9E" w:rsidRPr="00831409" w:rsidRDefault="00304D9E" w:rsidP="00304D9E">
      <w:pPr>
        <w:pStyle w:val="listparagraph"/>
        <w:tabs>
          <w:tab w:val="left" w:pos="993"/>
        </w:tabs>
        <w:ind w:left="709"/>
        <w:jc w:val="both"/>
        <w:rPr>
          <w:rFonts w:ascii="Times New Roman" w:hAnsi="Times New Roman"/>
          <w:sz w:val="22"/>
          <w:lang w:val="en-US"/>
        </w:rPr>
      </w:pPr>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rPr>
                <w:sz w:val="22"/>
                <w:lang w:val="en-US"/>
              </w:rPr>
            </w:pPr>
            <w:r w:rsidRPr="00831409">
              <w:rPr>
                <w:sz w:val="22"/>
                <w:lang w:val="en-US"/>
              </w:rPr>
              <w:t>Within 6 months of publishing this Provision on www.sk.ru</w:t>
            </w:r>
            <w:bookmarkStart w:id="2" w:name="_GoBack"/>
            <w:bookmarkEnd w:id="2"/>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6E22A0"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1390D976"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2F2B43" w:rsidRPr="002F2B43">
        <w:rPr>
          <w:rFonts w:ascii="Times New Roman" w:hAnsi="Times New Roman"/>
          <w:b/>
          <w:color w:val="000000"/>
          <w:lang w:val="en-US"/>
        </w:rPr>
        <w:t>Development of natural gas and APG processing and use technologies</w:t>
      </w:r>
      <w:r w:rsidR="00D53DE5" w:rsidRPr="00D53DE5">
        <w:rPr>
          <w:rFonts w:ascii="Times New Roman" w:hAnsi="Times New Roman"/>
          <w:b/>
          <w:color w:val="000000"/>
          <w:lang w:val="en-US"/>
        </w:rPr>
        <w:t>’</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FAAF7" w14:textId="77777777" w:rsidR="006E22A0" w:rsidRDefault="006E22A0" w:rsidP="00933F77">
      <w:pPr>
        <w:spacing w:after="0" w:line="240" w:lineRule="auto"/>
      </w:pPr>
      <w:r>
        <w:separator/>
      </w:r>
    </w:p>
  </w:endnote>
  <w:endnote w:type="continuationSeparator" w:id="0">
    <w:p w14:paraId="36D6F209" w14:textId="77777777" w:rsidR="006E22A0" w:rsidRDefault="006E22A0" w:rsidP="00933F77">
      <w:pPr>
        <w:spacing w:after="0" w:line="240" w:lineRule="auto"/>
      </w:pPr>
      <w:r>
        <w:continuationSeparator/>
      </w:r>
    </w:p>
  </w:endnote>
  <w:endnote w:type="continuationNotice" w:id="1">
    <w:p w14:paraId="556DCD0B" w14:textId="77777777" w:rsidR="006E22A0" w:rsidRDefault="006E2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A47841" w:rsidRPr="00A47841">
          <w:rPr>
            <w:rFonts w:ascii="Times New Roman" w:hAnsi="Times New Roman"/>
            <w:noProof/>
          </w:rPr>
          <w:t>3</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F9EF5" w14:textId="77777777" w:rsidR="006E22A0" w:rsidRDefault="006E22A0" w:rsidP="00933F77">
      <w:pPr>
        <w:spacing w:after="0" w:line="240" w:lineRule="auto"/>
      </w:pPr>
      <w:r>
        <w:separator/>
      </w:r>
    </w:p>
  </w:footnote>
  <w:footnote w:type="continuationSeparator" w:id="0">
    <w:p w14:paraId="37B8F4A0" w14:textId="77777777" w:rsidR="006E22A0" w:rsidRDefault="006E22A0" w:rsidP="00933F77">
      <w:pPr>
        <w:spacing w:after="0" w:line="240" w:lineRule="auto"/>
      </w:pPr>
      <w:r>
        <w:continuationSeparator/>
      </w:r>
    </w:p>
  </w:footnote>
  <w:footnote w:type="continuationNotice" w:id="1">
    <w:p w14:paraId="44910F50" w14:textId="77777777" w:rsidR="006E22A0" w:rsidRDefault="006E22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ED12" w14:textId="77777777" w:rsidR="005D14D2" w:rsidRDefault="005D14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6">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7">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2">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0">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8"/>
  </w:num>
  <w:num w:numId="3">
    <w:abstractNumId w:val="21"/>
  </w:num>
  <w:num w:numId="4">
    <w:abstractNumId w:val="13"/>
  </w:num>
  <w:num w:numId="5">
    <w:abstractNumId w:val="11"/>
  </w:num>
  <w:num w:numId="6">
    <w:abstractNumId w:val="5"/>
  </w:num>
  <w:num w:numId="7">
    <w:abstractNumId w:val="1"/>
  </w:num>
  <w:num w:numId="8">
    <w:abstractNumId w:val="0"/>
  </w:num>
  <w:num w:numId="9">
    <w:abstractNumId w:val="2"/>
  </w:num>
  <w:num w:numId="10">
    <w:abstractNumId w:val="19"/>
  </w:num>
  <w:num w:numId="11">
    <w:abstractNumId w:val="6"/>
  </w:num>
  <w:num w:numId="12">
    <w:abstractNumId w:val="7"/>
  </w:num>
  <w:num w:numId="13">
    <w:abstractNumId w:val="15"/>
  </w:num>
  <w:num w:numId="14">
    <w:abstractNumId w:val="14"/>
  </w:num>
  <w:num w:numId="15">
    <w:abstractNumId w:val="12"/>
  </w:num>
  <w:num w:numId="16">
    <w:abstractNumId w:val="16"/>
  </w:num>
  <w:num w:numId="17">
    <w:abstractNumId w:val="9"/>
  </w:num>
  <w:num w:numId="18">
    <w:abstractNumId w:val="10"/>
  </w:num>
  <w:num w:numId="19">
    <w:abstractNumId w:val="8"/>
  </w:num>
  <w:num w:numId="20">
    <w:abstractNumId w:val="17"/>
  </w:num>
  <w:num w:numId="21">
    <w:abstractNumId w:val="23"/>
  </w:num>
  <w:num w:numId="22">
    <w:abstractNumId w:val="22"/>
  </w:num>
  <w:num w:numId="23">
    <w:abstractNumId w:val="3"/>
  </w:num>
  <w:num w:numId="2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4864"/>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40026"/>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66FD"/>
    <w:rsid w:val="002E1207"/>
    <w:rsid w:val="002E208A"/>
    <w:rsid w:val="002E6185"/>
    <w:rsid w:val="002E742A"/>
    <w:rsid w:val="002F2B43"/>
    <w:rsid w:val="00304D9E"/>
    <w:rsid w:val="00305729"/>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687F"/>
    <w:rsid w:val="0042644C"/>
    <w:rsid w:val="004305E6"/>
    <w:rsid w:val="00431F06"/>
    <w:rsid w:val="0043495B"/>
    <w:rsid w:val="00437111"/>
    <w:rsid w:val="00440D77"/>
    <w:rsid w:val="00444EA8"/>
    <w:rsid w:val="004575FF"/>
    <w:rsid w:val="00471E93"/>
    <w:rsid w:val="00472E4F"/>
    <w:rsid w:val="004730E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D0A93"/>
    <w:rsid w:val="006D3838"/>
    <w:rsid w:val="006E0F4B"/>
    <w:rsid w:val="006E22A0"/>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2157E"/>
    <w:rsid w:val="00C25EB1"/>
    <w:rsid w:val="00C31E76"/>
    <w:rsid w:val="00C34FDE"/>
    <w:rsid w:val="00C350ED"/>
    <w:rsid w:val="00C35694"/>
    <w:rsid w:val="00C35E48"/>
    <w:rsid w:val="00C45ABA"/>
    <w:rsid w:val="00C60F95"/>
    <w:rsid w:val="00C6552F"/>
    <w:rsid w:val="00C71B3B"/>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75896"/>
    <w:rsid w:val="00D93ADC"/>
    <w:rsid w:val="00D95729"/>
    <w:rsid w:val="00DA0CFA"/>
    <w:rsid w:val="00DA2351"/>
    <w:rsid w:val="00DA39CA"/>
    <w:rsid w:val="00DA4453"/>
    <w:rsid w:val="00DA4F42"/>
    <w:rsid w:val="00DB5676"/>
    <w:rsid w:val="00DC062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292E-C52C-4D3C-964A-61D5D2B7D501}">
  <ds:schemaRefs>
    <ds:schemaRef ds:uri="http://schemas.openxmlformats.org/officeDocument/2006/bibliography"/>
  </ds:schemaRefs>
</ds:datastoreItem>
</file>

<file path=customXml/itemProps2.xml><?xml version="1.0" encoding="utf-8"?>
<ds:datastoreItem xmlns:ds="http://schemas.openxmlformats.org/officeDocument/2006/customXml" ds:itemID="{49181F47-58B2-4006-AB97-9667058E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3394</Words>
  <Characters>19351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3</cp:revision>
  <cp:lastPrinted>2013-02-13T12:06:00Z</cp:lastPrinted>
  <dcterms:created xsi:type="dcterms:W3CDTF">2013-04-24T10:21:00Z</dcterms:created>
  <dcterms:modified xsi:type="dcterms:W3CDTF">2013-04-24T10:35:00Z</dcterms:modified>
</cp:coreProperties>
</file>