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62DF7A5A" w14:textId="3033D2A1" w:rsidR="00933F77" w:rsidRPr="00831409" w:rsidRDefault="00BE3C1A" w:rsidP="00A40C1C">
      <w:pPr>
        <w:pStyle w:val="a5"/>
        <w:ind w:left="851"/>
        <w:jc w:val="center"/>
        <w:rPr>
          <w:rFonts w:ascii="Times New Roman" w:hAnsi="Times New Roman"/>
          <w:b/>
          <w:lang w:val="en-US"/>
        </w:rPr>
      </w:pPr>
      <w:r w:rsidRPr="00831409">
        <w:rPr>
          <w:rFonts w:ascii="Times New Roman" w:hAnsi="Times New Roman"/>
          <w:b/>
          <w:lang w:val="en-US"/>
        </w:rPr>
        <w:t>‘</w:t>
      </w:r>
      <w:r w:rsidR="00094F79" w:rsidRPr="00094F79">
        <w:rPr>
          <w:rFonts w:ascii="Times New Roman" w:hAnsi="Times New Roman"/>
          <w:b/>
          <w:lang w:val="en-US"/>
        </w:rPr>
        <w:t>Development of corrosion-proof and sharp temperature changes resistant high-temperature materials</w:t>
      </w:r>
      <w:r w:rsidR="00094F79">
        <w:rPr>
          <w:rFonts w:ascii="Times New Roman" w:hAnsi="Times New Roman"/>
          <w:b/>
          <w:lang w:val="en-US"/>
        </w:rPr>
        <w:t>’</w:t>
      </w: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52464C"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52464C"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52464C"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52464C"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52464C"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52464C"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1"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ACDFAA3" w14:textId="7251B7F8" w:rsidR="00BB388C" w:rsidRPr="00BB388C" w:rsidRDefault="0023555E" w:rsidP="00BB388C">
      <w:pPr>
        <w:ind w:firstLine="709"/>
        <w:jc w:val="both"/>
        <w:rPr>
          <w:rFonts w:ascii="Times New Roman" w:hAnsi="Times New Roman"/>
          <w:lang w:val="en-AU"/>
        </w:rPr>
      </w:pPr>
      <w:r>
        <w:rPr>
          <w:rFonts w:ascii="Times New Roman" w:hAnsi="Times New Roman"/>
          <w:lang w:val="en-US"/>
        </w:rPr>
        <w:t>D</w:t>
      </w:r>
      <w:r w:rsidRPr="0023555E">
        <w:rPr>
          <w:rFonts w:ascii="Times New Roman" w:hAnsi="Times New Roman"/>
          <w:lang w:val="en-US"/>
        </w:rPr>
        <w:t>evelop new heat resistant materials and coatings that are also resistant to corrosion and changes in temperatures of at least 700 C, which can be used for (1) preventing the deposit of ash on the heated surfaces of boiler equipment or (2) in the reaction/regeneration bl</w:t>
      </w:r>
      <w:r>
        <w:rPr>
          <w:rFonts w:ascii="Times New Roman" w:hAnsi="Times New Roman"/>
          <w:lang w:val="en-US"/>
        </w:rPr>
        <w:t>ock of catalytic breaking units</w:t>
      </w:r>
      <w:r w:rsidR="00BB388C" w:rsidRPr="00BB388C">
        <w:rPr>
          <w:rFonts w:ascii="Times New Roman" w:hAnsi="Times New Roman"/>
          <w:lang w:val="en-AU"/>
        </w:rPr>
        <w:t>.</w:t>
      </w:r>
    </w:p>
    <w:p w14:paraId="13B7168D" w14:textId="77777777" w:rsidR="00A40C1C" w:rsidRPr="00DC1DCE" w:rsidRDefault="00A40C1C" w:rsidP="002F2B43">
      <w:pPr>
        <w:pStyle w:val="a5"/>
        <w:spacing w:after="0"/>
        <w:ind w:left="0"/>
        <w:rPr>
          <w:rFonts w:ascii="Times New Roman" w:hAnsi="Times New Roman"/>
          <w:lang w:val="en-AU"/>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535D5DCB" w:rsidR="0092508F" w:rsidRPr="00831409" w:rsidRDefault="00F92099" w:rsidP="00DC1DCE">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r w:rsidR="0023555E" w:rsidRPr="0023555E">
        <w:rPr>
          <w:rFonts w:ascii="Times New Roman" w:hAnsi="Times New Roman"/>
          <w:lang w:val="en-US"/>
        </w:rPr>
        <w:t xml:space="preserve">Gazprom </w:t>
      </w:r>
      <w:proofErr w:type="spellStart"/>
      <w:r w:rsidR="0023555E" w:rsidRPr="0023555E">
        <w:rPr>
          <w:rFonts w:ascii="Times New Roman" w:hAnsi="Times New Roman"/>
          <w:lang w:val="en-US"/>
        </w:rPr>
        <w:t>Neft</w:t>
      </w:r>
      <w:proofErr w:type="spellEnd"/>
      <w:r w:rsidR="0023555E" w:rsidRPr="0023555E">
        <w:rPr>
          <w:rFonts w:ascii="Times New Roman" w:hAnsi="Times New Roman"/>
          <w:lang w:val="en-US"/>
        </w:rPr>
        <w:t xml:space="preserve">, INTER RAO UES, </w:t>
      </w:r>
      <w:proofErr w:type="spellStart"/>
      <w:r w:rsidR="0023555E" w:rsidRPr="0023555E">
        <w:rPr>
          <w:rFonts w:ascii="Times New Roman" w:hAnsi="Times New Roman"/>
          <w:lang w:val="en-US"/>
        </w:rPr>
        <w:t>Eurosibenergo</w:t>
      </w:r>
      <w:proofErr w:type="spellEnd"/>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3AD83852" w14:textId="77777777" w:rsidR="0023555E" w:rsidRPr="0023555E" w:rsidRDefault="0023555E" w:rsidP="0023555E">
      <w:pPr>
        <w:ind w:firstLine="709"/>
        <w:jc w:val="both"/>
        <w:rPr>
          <w:rFonts w:ascii="Times New Roman" w:hAnsi="Times New Roman"/>
          <w:lang w:val="en-AU"/>
        </w:rPr>
      </w:pPr>
      <w:r w:rsidRPr="0023555E">
        <w:rPr>
          <w:rFonts w:ascii="Times New Roman" w:hAnsi="Times New Roman"/>
          <w:lang w:val="en-AU"/>
        </w:rPr>
        <w:t>Power and oil refining companies use equipment that operates in adverse environments, such as boilers and catalytic cracking units.</w:t>
      </w:r>
    </w:p>
    <w:p w14:paraId="13F565C1" w14:textId="77777777" w:rsidR="0023555E" w:rsidRPr="0023555E" w:rsidRDefault="0023555E" w:rsidP="0023555E">
      <w:pPr>
        <w:ind w:firstLine="709"/>
        <w:jc w:val="both"/>
        <w:rPr>
          <w:rFonts w:ascii="Times New Roman" w:hAnsi="Times New Roman"/>
          <w:lang w:val="en-AU"/>
        </w:rPr>
      </w:pPr>
      <w:r w:rsidRPr="0023555E">
        <w:rPr>
          <w:rFonts w:ascii="Times New Roman" w:hAnsi="Times New Roman"/>
          <w:lang w:val="en-AU"/>
        </w:rPr>
        <w:t xml:space="preserve">This means that such equipment wears down very fast, which translates into additional maintenance and emergency repairs costs as well as downtime costs and costs of eliminating the </w:t>
      </w:r>
      <w:r w:rsidRPr="0023555E">
        <w:rPr>
          <w:rFonts w:ascii="Times New Roman" w:hAnsi="Times New Roman"/>
          <w:lang w:val="en-AU"/>
        </w:rPr>
        <w:lastRenderedPageBreak/>
        <w:t xml:space="preserve">consequences of emergencies. As ash is deposited on the surfaces of such equipment its heat transmission properties and, as a consequences, efficiency deteriorate. </w:t>
      </w:r>
    </w:p>
    <w:p w14:paraId="484D46EC" w14:textId="77777777" w:rsidR="0023555E" w:rsidRPr="0023555E" w:rsidRDefault="0023555E" w:rsidP="0023555E">
      <w:pPr>
        <w:ind w:firstLine="709"/>
        <w:jc w:val="both"/>
        <w:rPr>
          <w:rFonts w:ascii="Times New Roman" w:hAnsi="Times New Roman"/>
          <w:lang w:val="en-AU"/>
        </w:rPr>
      </w:pPr>
      <w:r w:rsidRPr="0023555E">
        <w:rPr>
          <w:rFonts w:ascii="Times New Roman" w:hAnsi="Times New Roman"/>
          <w:lang w:val="en-AU"/>
        </w:rPr>
        <w:t>In addition, the efficiency of generation equipment can be increased primarily by increasing the temperature and pressure it operates at. New materials that can enable power equipment to operate at higher pressures and temperatures can improve efficiency even further.</w:t>
      </w:r>
    </w:p>
    <w:p w14:paraId="4788AC20" w14:textId="7DA65C64" w:rsidR="00BB388C" w:rsidRPr="00BB388C" w:rsidRDefault="0023555E" w:rsidP="0023555E">
      <w:pPr>
        <w:ind w:firstLine="709"/>
        <w:jc w:val="both"/>
        <w:rPr>
          <w:rFonts w:ascii="Times New Roman" w:hAnsi="Times New Roman"/>
          <w:lang w:val="en-AU"/>
        </w:rPr>
      </w:pPr>
      <w:r w:rsidRPr="0023555E">
        <w:rPr>
          <w:rFonts w:ascii="Times New Roman" w:hAnsi="Times New Roman"/>
          <w:lang w:val="en-AU"/>
        </w:rPr>
        <w:t xml:space="preserve">The idea is to develop heat proof materials to be used in two ways: (1) in boilers and in (2) catalytic cracking units. A tender for participation in the contest can be for either of these two uses. The foundation may choose two winners one for </w:t>
      </w:r>
      <w:r>
        <w:rPr>
          <w:rFonts w:ascii="Times New Roman" w:hAnsi="Times New Roman"/>
          <w:lang w:val="en-AU"/>
        </w:rPr>
        <w:t>each of the aforementioned uses</w:t>
      </w:r>
      <w:r w:rsidR="00BB388C" w:rsidRPr="00BB388C">
        <w:rPr>
          <w:rFonts w:ascii="Times New Roman" w:hAnsi="Times New Roman"/>
          <w:lang w:val="en-AU"/>
        </w:rPr>
        <w:t xml:space="preserve">. </w:t>
      </w:r>
    </w:p>
    <w:p w14:paraId="61C04C8D" w14:textId="1B3E7E86" w:rsidR="00752D59" w:rsidRPr="00A40C1C" w:rsidRDefault="00DC1DCE" w:rsidP="00DC1DCE">
      <w:pPr>
        <w:rPr>
          <w:rFonts w:ascii="Times New Roman" w:hAnsi="Times New Roman"/>
          <w:highlight w:val="yellow"/>
          <w:lang w:val="en-US"/>
        </w:rPr>
      </w:pPr>
      <w:r w:rsidRPr="00DC1DCE">
        <w:rPr>
          <w:rFonts w:ascii="Times New Roman" w:hAnsi="Times New Roman"/>
          <w:lang w:val="en-AU"/>
        </w:rPr>
        <w:t>.</w:t>
      </w: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597190A7"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w:t>
      </w:r>
      <w:r w:rsidR="00094F79" w:rsidRPr="00094F79">
        <w:rPr>
          <w:rFonts w:ascii="Times New Roman" w:hAnsi="Times New Roman"/>
          <w:b/>
          <w:lang w:val="en-US"/>
        </w:rPr>
        <w:t>Development of corrosion-proof and sharp temperature changes resistant high-temperature materials</w:t>
      </w:r>
      <w:r w:rsidR="00094F79">
        <w:rPr>
          <w:rFonts w:ascii="Times New Roman" w:hAnsi="Times New Roman"/>
          <w:b/>
          <w:lang w:val="en-US"/>
        </w:rPr>
        <w:t xml:space="preserve">’ </w:t>
      </w:r>
      <w:proofErr w:type="gramStart"/>
      <w:r w:rsidR="0043495B" w:rsidRPr="009F1F3C">
        <w:rPr>
          <w:rFonts w:ascii="Times New Roman" w:eastAsiaTheme="majorEastAsia" w:hAnsi="Times New Roman" w:cs="Times New Roman"/>
          <w:bCs/>
          <w:lang w:val="en-US"/>
        </w:rPr>
        <w:t>are</w:t>
      </w:r>
      <w:proofErr w:type="gramEnd"/>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788A37C6" w14:textId="7F759EBA" w:rsidR="00BE398C" w:rsidRPr="00A47841" w:rsidRDefault="00072EA4" w:rsidP="00BE398C">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13E82FEF" w14:textId="77777777" w:rsidR="00A47841" w:rsidRPr="00D53DE5" w:rsidRDefault="00A47841" w:rsidP="00A47841">
      <w:pPr>
        <w:pStyle w:val="listparagraph"/>
        <w:spacing w:line="360" w:lineRule="auto"/>
        <w:ind w:left="1134"/>
        <w:jc w:val="both"/>
        <w:rPr>
          <w:rFonts w:ascii="Times New Roman" w:hAnsi="Times New Roman"/>
          <w:sz w:val="22"/>
        </w:rPr>
      </w:pPr>
    </w:p>
    <w:p w14:paraId="47F00E0D" w14:textId="77777777" w:rsidR="0023555E" w:rsidRDefault="0023555E" w:rsidP="0023555E">
      <w:pPr>
        <w:numPr>
          <w:ilvl w:val="0"/>
          <w:numId w:val="9"/>
        </w:numPr>
        <w:ind w:left="709" w:hanging="283"/>
        <w:rPr>
          <w:rFonts w:ascii="Times New Roman" w:hAnsi="Times New Roman" w:cs="Times New Roman"/>
          <w:lang w:val="en-US" w:eastAsia="ru-RU"/>
        </w:rPr>
      </w:pPr>
      <w:r w:rsidRPr="0023555E">
        <w:rPr>
          <w:rFonts w:ascii="Times New Roman" w:hAnsi="Times New Roman" w:cs="Times New Roman"/>
          <w:lang w:val="en-AU" w:eastAsia="ru-RU"/>
        </w:rPr>
        <w:t>A sample material with confirmed properties (the coating must be applied to a surface</w:t>
      </w:r>
      <w:r w:rsidRPr="0023555E">
        <w:rPr>
          <w:rFonts w:ascii="Times New Roman" w:hAnsi="Times New Roman" w:cs="Times New Roman"/>
          <w:lang w:val="en-US" w:eastAsia="ru-RU"/>
        </w:rPr>
        <w:t>).</w:t>
      </w:r>
    </w:p>
    <w:p w14:paraId="68CDAD0A" w14:textId="77777777" w:rsidR="0023555E" w:rsidRPr="0023555E" w:rsidRDefault="0023555E" w:rsidP="0023555E">
      <w:pPr>
        <w:ind w:left="709"/>
        <w:rPr>
          <w:rFonts w:ascii="Times New Roman" w:hAnsi="Times New Roman" w:cs="Times New Roman"/>
          <w:lang w:val="en-US" w:eastAsia="ru-RU"/>
        </w:rPr>
      </w:pPr>
      <w:bookmarkStart w:id="2" w:name="_GoBack"/>
      <w:bookmarkEnd w:id="2"/>
    </w:p>
    <w:p w14:paraId="4D9C0E93" w14:textId="2CCEF01A" w:rsidR="00304D9E" w:rsidRPr="0023555E" w:rsidRDefault="0023555E" w:rsidP="00304D9E">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Expected concept implementation results:</w:t>
      </w:r>
    </w:p>
    <w:p w14:paraId="584EA793" w14:textId="174FCDD4" w:rsidR="0023555E" w:rsidRPr="0023555E" w:rsidRDefault="0023555E" w:rsidP="0023555E">
      <w:pPr>
        <w:pStyle w:val="listparagraph"/>
        <w:numPr>
          <w:ilvl w:val="0"/>
          <w:numId w:val="27"/>
        </w:numPr>
        <w:tabs>
          <w:tab w:val="left" w:pos="993"/>
        </w:tabs>
        <w:spacing w:line="360" w:lineRule="auto"/>
        <w:ind w:left="851"/>
        <w:jc w:val="both"/>
        <w:rPr>
          <w:rFonts w:ascii="Times New Roman" w:hAnsi="Times New Roman"/>
          <w:sz w:val="22"/>
          <w:lang w:val="en-US"/>
        </w:rPr>
      </w:pPr>
      <w:r w:rsidRPr="0023555E">
        <w:rPr>
          <w:rFonts w:ascii="Times New Roman" w:hAnsi="Times New Roman"/>
          <w:sz w:val="22"/>
          <w:lang w:val="en-US"/>
        </w:rPr>
        <w:t>Low adhesion of deposits to the surface;</w:t>
      </w:r>
    </w:p>
    <w:p w14:paraId="5C7F965B" w14:textId="48D9FF32" w:rsidR="0023555E" w:rsidRPr="0023555E" w:rsidRDefault="0023555E" w:rsidP="0023555E">
      <w:pPr>
        <w:pStyle w:val="listparagraph"/>
        <w:numPr>
          <w:ilvl w:val="0"/>
          <w:numId w:val="27"/>
        </w:numPr>
        <w:tabs>
          <w:tab w:val="left" w:pos="993"/>
        </w:tabs>
        <w:spacing w:line="360" w:lineRule="auto"/>
        <w:ind w:left="851"/>
        <w:jc w:val="both"/>
        <w:rPr>
          <w:rFonts w:ascii="Times New Roman" w:hAnsi="Times New Roman"/>
          <w:sz w:val="22"/>
          <w:lang w:val="en-US"/>
        </w:rPr>
      </w:pPr>
      <w:r w:rsidRPr="0023555E">
        <w:rPr>
          <w:rFonts w:ascii="Times New Roman" w:hAnsi="Times New Roman"/>
          <w:sz w:val="22"/>
          <w:lang w:val="en-US"/>
        </w:rPr>
        <w:t>Operation at high temperatures (At least 700C);</w:t>
      </w:r>
    </w:p>
    <w:p w14:paraId="25B806BD" w14:textId="6E20099D" w:rsidR="0023555E" w:rsidRPr="0023555E" w:rsidRDefault="0023555E" w:rsidP="0023555E">
      <w:pPr>
        <w:pStyle w:val="listparagraph"/>
        <w:numPr>
          <w:ilvl w:val="0"/>
          <w:numId w:val="27"/>
        </w:numPr>
        <w:tabs>
          <w:tab w:val="left" w:pos="993"/>
        </w:tabs>
        <w:spacing w:line="360" w:lineRule="auto"/>
        <w:ind w:left="851"/>
        <w:jc w:val="both"/>
        <w:rPr>
          <w:rFonts w:ascii="Times New Roman" w:hAnsi="Times New Roman"/>
          <w:sz w:val="22"/>
          <w:lang w:val="en-US"/>
        </w:rPr>
      </w:pPr>
      <w:r w:rsidRPr="0023555E">
        <w:rPr>
          <w:rFonts w:ascii="Times New Roman" w:hAnsi="Times New Roman"/>
          <w:sz w:val="22"/>
          <w:lang w:val="en-US"/>
        </w:rPr>
        <w:t>High heat transmission for solution (1); low heat transmission for solution (2);</w:t>
      </w:r>
    </w:p>
    <w:p w14:paraId="1FE746CC" w14:textId="5E1DADD1" w:rsidR="0023555E" w:rsidRPr="0023555E" w:rsidRDefault="0023555E" w:rsidP="0023555E">
      <w:pPr>
        <w:pStyle w:val="listparagraph"/>
        <w:numPr>
          <w:ilvl w:val="0"/>
          <w:numId w:val="27"/>
        </w:numPr>
        <w:tabs>
          <w:tab w:val="left" w:pos="993"/>
        </w:tabs>
        <w:spacing w:line="360" w:lineRule="auto"/>
        <w:ind w:left="851"/>
        <w:jc w:val="both"/>
        <w:rPr>
          <w:rFonts w:ascii="Times New Roman" w:hAnsi="Times New Roman"/>
          <w:sz w:val="22"/>
          <w:lang w:val="en-US"/>
        </w:rPr>
      </w:pPr>
      <w:r w:rsidRPr="0023555E">
        <w:rPr>
          <w:rFonts w:ascii="Times New Roman" w:hAnsi="Times New Roman"/>
          <w:sz w:val="22"/>
          <w:lang w:val="en-US"/>
        </w:rPr>
        <w:t>Resistance to the abrasive impact of ash dust(1);</w:t>
      </w:r>
    </w:p>
    <w:p w14:paraId="0693B430" w14:textId="33A2066A" w:rsidR="0023555E" w:rsidRPr="0023555E" w:rsidRDefault="0023555E" w:rsidP="0023555E">
      <w:pPr>
        <w:pStyle w:val="listparagraph"/>
        <w:numPr>
          <w:ilvl w:val="0"/>
          <w:numId w:val="27"/>
        </w:numPr>
        <w:tabs>
          <w:tab w:val="left" w:pos="993"/>
        </w:tabs>
        <w:spacing w:line="360" w:lineRule="auto"/>
        <w:ind w:left="851"/>
        <w:jc w:val="both"/>
        <w:rPr>
          <w:rFonts w:ascii="Times New Roman" w:hAnsi="Times New Roman"/>
          <w:sz w:val="22"/>
          <w:lang w:val="en-US"/>
        </w:rPr>
      </w:pPr>
      <w:r w:rsidRPr="0023555E">
        <w:rPr>
          <w:rFonts w:ascii="Times New Roman" w:hAnsi="Times New Roman"/>
          <w:sz w:val="22"/>
          <w:lang w:val="en-US"/>
        </w:rPr>
        <w:t>Low cost of the material, assessment of how much it will cost to use it in boilers (1) or in a catalytic cracking unit (2);</w:t>
      </w:r>
    </w:p>
    <w:p w14:paraId="6B745221" w14:textId="69DCE207" w:rsidR="0023555E" w:rsidRPr="0023555E" w:rsidRDefault="0023555E" w:rsidP="0023555E">
      <w:pPr>
        <w:pStyle w:val="listparagraph"/>
        <w:numPr>
          <w:ilvl w:val="0"/>
          <w:numId w:val="27"/>
        </w:numPr>
        <w:tabs>
          <w:tab w:val="left" w:pos="993"/>
        </w:tabs>
        <w:spacing w:line="360" w:lineRule="auto"/>
        <w:ind w:left="851"/>
        <w:jc w:val="both"/>
        <w:rPr>
          <w:rFonts w:ascii="Times New Roman" w:hAnsi="Times New Roman"/>
          <w:sz w:val="22"/>
          <w:lang w:val="en-US"/>
        </w:rPr>
      </w:pPr>
      <w:r w:rsidRPr="0023555E">
        <w:rPr>
          <w:rFonts w:ascii="Times New Roman" w:hAnsi="Times New Roman"/>
          <w:sz w:val="22"/>
          <w:lang w:val="en-US"/>
        </w:rPr>
        <w:lastRenderedPageBreak/>
        <w:t>The material must be safe to use;</w:t>
      </w:r>
    </w:p>
    <w:p w14:paraId="687F9AC5" w14:textId="59D8185C" w:rsidR="0023555E" w:rsidRPr="0023555E" w:rsidRDefault="0023555E" w:rsidP="0023555E">
      <w:pPr>
        <w:pStyle w:val="listparagraph"/>
        <w:numPr>
          <w:ilvl w:val="0"/>
          <w:numId w:val="27"/>
        </w:numPr>
        <w:tabs>
          <w:tab w:val="left" w:pos="993"/>
        </w:tabs>
        <w:spacing w:line="360" w:lineRule="auto"/>
        <w:ind w:left="851"/>
        <w:jc w:val="both"/>
        <w:rPr>
          <w:rFonts w:ascii="Times New Roman" w:hAnsi="Times New Roman"/>
          <w:sz w:val="22"/>
          <w:lang w:val="en-US"/>
        </w:rPr>
      </w:pPr>
      <w:r w:rsidRPr="0023555E">
        <w:rPr>
          <w:rFonts w:ascii="Times New Roman" w:hAnsi="Times New Roman"/>
          <w:sz w:val="22"/>
          <w:lang w:val="en-US"/>
        </w:rPr>
        <w:t>Additional requirements for coating:</w:t>
      </w:r>
    </w:p>
    <w:p w14:paraId="02616F3B" w14:textId="25E56D86" w:rsidR="0023555E" w:rsidRPr="0023555E" w:rsidRDefault="0023555E" w:rsidP="0023555E">
      <w:pPr>
        <w:pStyle w:val="listparagraph"/>
        <w:numPr>
          <w:ilvl w:val="0"/>
          <w:numId w:val="26"/>
        </w:numPr>
        <w:tabs>
          <w:tab w:val="left" w:pos="993"/>
        </w:tabs>
        <w:spacing w:line="360" w:lineRule="auto"/>
        <w:jc w:val="both"/>
        <w:rPr>
          <w:rFonts w:ascii="Times New Roman" w:hAnsi="Times New Roman"/>
          <w:sz w:val="22"/>
          <w:lang w:val="en-US"/>
        </w:rPr>
      </w:pPr>
      <w:r w:rsidRPr="0023555E">
        <w:rPr>
          <w:rFonts w:ascii="Times New Roman" w:hAnsi="Times New Roman"/>
          <w:sz w:val="22"/>
          <w:lang w:val="en-US"/>
        </w:rPr>
        <w:tab/>
        <w:t>High adhesion to the metal the coating is applied to, resistance to the expansion of the metal when temperature increases from 0 to 700C;</w:t>
      </w:r>
    </w:p>
    <w:p w14:paraId="6EF4E0FB" w14:textId="165A4739" w:rsidR="0023555E" w:rsidRPr="0023555E" w:rsidRDefault="0023555E" w:rsidP="0023555E">
      <w:pPr>
        <w:pStyle w:val="listparagraph"/>
        <w:numPr>
          <w:ilvl w:val="0"/>
          <w:numId w:val="26"/>
        </w:numPr>
        <w:tabs>
          <w:tab w:val="left" w:pos="993"/>
        </w:tabs>
        <w:spacing w:line="360" w:lineRule="auto"/>
        <w:jc w:val="both"/>
        <w:rPr>
          <w:rFonts w:ascii="Times New Roman" w:hAnsi="Times New Roman"/>
          <w:sz w:val="22"/>
          <w:lang w:val="en-US"/>
        </w:rPr>
      </w:pPr>
      <w:r w:rsidRPr="0023555E">
        <w:rPr>
          <w:rFonts w:ascii="Times New Roman" w:hAnsi="Times New Roman"/>
          <w:sz w:val="22"/>
          <w:lang w:val="en-US"/>
        </w:rPr>
        <w:t>It should be possible to reapply the material without taking the equipment offline;</w:t>
      </w:r>
    </w:p>
    <w:p w14:paraId="4367E004" w14:textId="657D99DA" w:rsidR="0023555E" w:rsidRPr="0023555E" w:rsidRDefault="0023555E" w:rsidP="0023555E">
      <w:pPr>
        <w:pStyle w:val="listparagraph"/>
        <w:numPr>
          <w:ilvl w:val="0"/>
          <w:numId w:val="26"/>
        </w:numPr>
        <w:tabs>
          <w:tab w:val="left" w:pos="993"/>
        </w:tabs>
        <w:spacing w:line="360" w:lineRule="auto"/>
        <w:jc w:val="both"/>
        <w:rPr>
          <w:rFonts w:ascii="Times New Roman" w:hAnsi="Times New Roman"/>
          <w:sz w:val="22"/>
          <w:lang w:val="en-US"/>
        </w:rPr>
      </w:pPr>
      <w:r w:rsidRPr="0023555E">
        <w:rPr>
          <w:rFonts w:ascii="Times New Roman" w:hAnsi="Times New Roman"/>
          <w:sz w:val="22"/>
          <w:lang w:val="en-US"/>
        </w:rPr>
        <w:t>Simple process for applying the coating;</w:t>
      </w:r>
    </w:p>
    <w:p w14:paraId="0309DA57" w14:textId="488D024B" w:rsidR="0023555E" w:rsidRPr="0023555E" w:rsidRDefault="0023555E" w:rsidP="0023555E">
      <w:pPr>
        <w:pStyle w:val="listparagraph"/>
        <w:numPr>
          <w:ilvl w:val="0"/>
          <w:numId w:val="26"/>
        </w:numPr>
        <w:tabs>
          <w:tab w:val="left" w:pos="993"/>
        </w:tabs>
        <w:spacing w:line="360" w:lineRule="auto"/>
        <w:jc w:val="both"/>
        <w:rPr>
          <w:rFonts w:ascii="Times New Roman" w:hAnsi="Times New Roman"/>
          <w:sz w:val="22"/>
          <w:lang w:val="en-US"/>
        </w:rPr>
      </w:pPr>
      <w:r w:rsidRPr="0023555E">
        <w:rPr>
          <w:rFonts w:ascii="Times New Roman" w:hAnsi="Times New Roman"/>
          <w:sz w:val="22"/>
          <w:lang w:val="en-US"/>
        </w:rPr>
        <w:t>Capability to apply the coating to large parts or parts with complex shapes;</w:t>
      </w:r>
    </w:p>
    <w:p w14:paraId="2C09E9C3" w14:textId="649DDAE6" w:rsidR="0023555E" w:rsidRPr="0023555E" w:rsidRDefault="0023555E" w:rsidP="0023555E">
      <w:pPr>
        <w:pStyle w:val="listparagraph"/>
        <w:numPr>
          <w:ilvl w:val="0"/>
          <w:numId w:val="26"/>
        </w:numPr>
        <w:tabs>
          <w:tab w:val="left" w:pos="993"/>
        </w:tabs>
        <w:spacing w:line="360" w:lineRule="auto"/>
        <w:jc w:val="both"/>
        <w:rPr>
          <w:rFonts w:ascii="Times New Roman" w:hAnsi="Times New Roman"/>
          <w:sz w:val="22"/>
          <w:lang w:val="en-US"/>
        </w:rPr>
      </w:pPr>
      <w:r w:rsidRPr="0023555E">
        <w:rPr>
          <w:rFonts w:ascii="Times New Roman" w:hAnsi="Times New Roman"/>
          <w:sz w:val="22"/>
          <w:lang w:val="en-US"/>
        </w:rPr>
        <w:tab/>
        <w:t>The surface the coating is applied to should not require any special preparation;</w:t>
      </w:r>
    </w:p>
    <w:p w14:paraId="1359B37D" w14:textId="486D9B23" w:rsidR="0023555E" w:rsidRPr="0023555E" w:rsidRDefault="0023555E" w:rsidP="0023555E">
      <w:pPr>
        <w:pStyle w:val="listparagraph"/>
        <w:numPr>
          <w:ilvl w:val="0"/>
          <w:numId w:val="26"/>
        </w:numPr>
        <w:tabs>
          <w:tab w:val="left" w:pos="993"/>
        </w:tabs>
        <w:spacing w:line="360" w:lineRule="auto"/>
        <w:jc w:val="both"/>
        <w:rPr>
          <w:rFonts w:ascii="Times New Roman" w:hAnsi="Times New Roman"/>
          <w:sz w:val="22"/>
          <w:lang w:val="en-US"/>
        </w:rPr>
      </w:pPr>
      <w:r w:rsidRPr="0023555E">
        <w:rPr>
          <w:rFonts w:ascii="Times New Roman" w:hAnsi="Times New Roman"/>
          <w:sz w:val="22"/>
          <w:lang w:val="en-US"/>
        </w:rPr>
        <w:t>The properties of the coating must hold for a long time (low metal erosion)</w:t>
      </w:r>
      <w:proofErr w:type="gramStart"/>
      <w:r w:rsidRPr="0023555E">
        <w:rPr>
          <w:rFonts w:ascii="Times New Roman" w:hAnsi="Times New Roman"/>
          <w:sz w:val="22"/>
          <w:lang w:val="en-US"/>
        </w:rPr>
        <w:t>,</w:t>
      </w:r>
      <w:proofErr w:type="gramEnd"/>
      <w:r w:rsidRPr="0023555E">
        <w:rPr>
          <w:rFonts w:ascii="Times New Roman" w:hAnsi="Times New Roman"/>
          <w:sz w:val="22"/>
          <w:lang w:val="en-US"/>
        </w:rPr>
        <w:t xml:space="preserve"> an estimate should be provided for how long the coating will hold.</w:t>
      </w:r>
    </w:p>
    <w:p w14:paraId="73477E20" w14:textId="77777777" w:rsidR="0023555E" w:rsidRPr="0023555E" w:rsidRDefault="0023555E" w:rsidP="0023555E">
      <w:pPr>
        <w:pStyle w:val="listparagraph"/>
        <w:tabs>
          <w:tab w:val="left" w:pos="993"/>
        </w:tabs>
        <w:jc w:val="both"/>
        <w:rPr>
          <w:rFonts w:ascii="Times New Roman" w:hAnsi="Times New Roman"/>
          <w:sz w:val="22"/>
          <w:lang w:val="en-US"/>
        </w:rPr>
      </w:pPr>
    </w:p>
    <w:p w14:paraId="7033F0C0" w14:textId="18BE88EA" w:rsidR="00304D9E" w:rsidRPr="00831409" w:rsidRDefault="0023555E" w:rsidP="0023555E">
      <w:pPr>
        <w:pStyle w:val="listparagraph"/>
        <w:tabs>
          <w:tab w:val="left" w:pos="993"/>
        </w:tabs>
        <w:ind w:left="0"/>
        <w:jc w:val="both"/>
        <w:rPr>
          <w:rFonts w:ascii="Times New Roman" w:hAnsi="Times New Roman"/>
          <w:sz w:val="22"/>
          <w:lang w:val="en-US"/>
        </w:rPr>
      </w:pPr>
      <w:r w:rsidRPr="0023555E">
        <w:rPr>
          <w:rFonts w:ascii="Times New Roman" w:hAnsi="Times New Roman"/>
          <w:sz w:val="22"/>
          <w:lang w:val="en-US"/>
        </w:rPr>
        <w:t>The project must offer real competitive advantages over existing technologies to justify its implementation.</w:t>
      </w:r>
    </w:p>
    <w:p w14:paraId="78D754ED" w14:textId="77777777" w:rsidR="008821A0" w:rsidRPr="00831409" w:rsidRDefault="008821A0" w:rsidP="008821A0">
      <w:pPr>
        <w:pStyle w:val="1"/>
        <w:numPr>
          <w:ilvl w:val="0"/>
          <w:numId w:val="0"/>
        </w:numPr>
        <w:ind w:left="360"/>
        <w:rPr>
          <w:sz w:val="22"/>
          <w:lang w:val="en-US"/>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52464C"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156493C0" w14:textId="5625EB7A" w:rsidR="00036824" w:rsidRPr="00A47841" w:rsidRDefault="00036824" w:rsidP="00A47841">
            <w:pPr>
              <w:pStyle w:val="2"/>
              <w:numPr>
                <w:ilvl w:val="0"/>
                <w:numId w:val="0"/>
              </w:numPr>
              <w:spacing w:line="240" w:lineRule="auto"/>
              <w:jc w:val="center"/>
              <w:rPr>
                <w:sz w:val="22"/>
                <w:lang w:val="en-US"/>
              </w:rPr>
            </w:pPr>
            <w:r w:rsidRPr="00831409">
              <w:rPr>
                <w:sz w:val="22"/>
                <w:lang w:val="en-US"/>
              </w:rPr>
              <w:t>Within 6 months of publishing this Provision on www.sk.ru</w:t>
            </w:r>
          </w:p>
        </w:tc>
      </w:tr>
      <w:tr w:rsidR="003B6AAF" w:rsidRPr="0052464C"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finishing collecting applications</w:t>
            </w:r>
          </w:p>
        </w:tc>
      </w:tr>
      <w:tr w:rsidR="003B6AAF" w:rsidRPr="0052464C"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3" w:name="_Toc326058338"/>
    </w:p>
    <w:p w14:paraId="2F8E8A71" w14:textId="5ABCD301" w:rsidR="001D3EF9" w:rsidRPr="00831409" w:rsidRDefault="00BE649B" w:rsidP="001B41E4">
      <w:pPr>
        <w:pStyle w:val="1"/>
        <w:rPr>
          <w:color w:val="auto"/>
          <w:sz w:val="22"/>
          <w:lang w:val="en-US"/>
        </w:rPr>
      </w:pPr>
      <w:bookmarkStart w:id="4" w:name="_Toc326058339"/>
      <w:bookmarkEnd w:id="3"/>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4"/>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4B67BA"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5" w:name="_Toc326058348"/>
      <w:r w:rsidRPr="00831409">
        <w:rPr>
          <w:color w:val="auto"/>
          <w:sz w:val="22"/>
          <w:lang w:val="en-US"/>
        </w:rPr>
        <w:lastRenderedPageBreak/>
        <w:t xml:space="preserve"> </w:t>
      </w:r>
      <w:bookmarkEnd w:id="5"/>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0A1B8191"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r w:rsidR="0023555E" w:rsidRPr="0023555E">
        <w:rPr>
          <w:rFonts w:ascii="Times New Roman" w:hAnsi="Times New Roman"/>
          <w:b/>
          <w:color w:val="000000"/>
          <w:lang w:val="en-US"/>
        </w:rPr>
        <w:t>Development of corrosion-proof and sharp temperature changes resistant high-temperature materials</w:t>
      </w:r>
      <w:r w:rsidR="0023555E">
        <w:rPr>
          <w:rFonts w:ascii="Times New Roman" w:hAnsi="Times New Roman"/>
          <w:b/>
          <w:color w:val="000000"/>
          <w:lang w:val="en-US"/>
        </w:rPr>
        <w:t>’</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52464C"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52464C"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8A45B" w14:textId="77777777" w:rsidR="004B67BA" w:rsidRDefault="004B67BA" w:rsidP="00933F77">
      <w:pPr>
        <w:spacing w:after="0" w:line="240" w:lineRule="auto"/>
      </w:pPr>
      <w:r>
        <w:separator/>
      </w:r>
    </w:p>
  </w:endnote>
  <w:endnote w:type="continuationSeparator" w:id="0">
    <w:p w14:paraId="08AA7DDF" w14:textId="77777777" w:rsidR="004B67BA" w:rsidRDefault="004B67BA" w:rsidP="00933F77">
      <w:pPr>
        <w:spacing w:after="0" w:line="240" w:lineRule="auto"/>
      </w:pPr>
      <w:r>
        <w:continuationSeparator/>
      </w:r>
    </w:p>
  </w:endnote>
  <w:endnote w:type="continuationNotice" w:id="1">
    <w:p w14:paraId="40A52428" w14:textId="77777777" w:rsidR="004B67BA" w:rsidRDefault="004B6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23555E" w:rsidRPr="0023555E">
          <w:rPr>
            <w:rFonts w:ascii="Times New Roman" w:hAnsi="Times New Roman"/>
            <w:noProof/>
          </w:rPr>
          <w:t>6</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46593" w14:textId="77777777" w:rsidR="004B67BA" w:rsidRDefault="004B67BA" w:rsidP="00933F77">
      <w:pPr>
        <w:spacing w:after="0" w:line="240" w:lineRule="auto"/>
      </w:pPr>
      <w:r>
        <w:separator/>
      </w:r>
    </w:p>
  </w:footnote>
  <w:footnote w:type="continuationSeparator" w:id="0">
    <w:p w14:paraId="33CCB948" w14:textId="77777777" w:rsidR="004B67BA" w:rsidRDefault="004B67BA" w:rsidP="00933F77">
      <w:pPr>
        <w:spacing w:after="0" w:line="240" w:lineRule="auto"/>
      </w:pPr>
      <w:r>
        <w:continuationSeparator/>
      </w:r>
    </w:p>
  </w:footnote>
  <w:footnote w:type="continuationNotice" w:id="1">
    <w:p w14:paraId="48F7C6B8" w14:textId="77777777" w:rsidR="004B67BA" w:rsidRDefault="004B67B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D02473F"/>
    <w:multiLevelType w:val="hybridMultilevel"/>
    <w:tmpl w:val="F4D66B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4D61CC"/>
    <w:multiLevelType w:val="hybridMultilevel"/>
    <w:tmpl w:val="1048F1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7">
    <w:nsid w:val="26AF37E1"/>
    <w:multiLevelType w:val="hybridMultilevel"/>
    <w:tmpl w:val="DEE6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9">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4">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973E2E"/>
    <w:multiLevelType w:val="hybridMultilevel"/>
    <w:tmpl w:val="2ACA0CBA"/>
    <w:lvl w:ilvl="0" w:tplc="5B5895E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23">
    <w:nsid w:val="72C41D49"/>
    <w:multiLevelType w:val="hybridMultilevel"/>
    <w:tmpl w:val="51E8A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7B681283"/>
    <w:multiLevelType w:val="hybridMultilevel"/>
    <w:tmpl w:val="A4888D76"/>
    <w:lvl w:ilvl="0" w:tplc="4D54108A">
      <w:start w:val="1668"/>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20"/>
  </w:num>
  <w:num w:numId="3">
    <w:abstractNumId w:val="24"/>
  </w:num>
  <w:num w:numId="4">
    <w:abstractNumId w:val="15"/>
  </w:num>
  <w:num w:numId="5">
    <w:abstractNumId w:val="13"/>
  </w:num>
  <w:num w:numId="6">
    <w:abstractNumId w:val="6"/>
  </w:num>
  <w:num w:numId="7">
    <w:abstractNumId w:val="1"/>
  </w:num>
  <w:num w:numId="8">
    <w:abstractNumId w:val="0"/>
  </w:num>
  <w:num w:numId="9">
    <w:abstractNumId w:val="3"/>
  </w:num>
  <w:num w:numId="10">
    <w:abstractNumId w:val="22"/>
  </w:num>
  <w:num w:numId="11">
    <w:abstractNumId w:val="8"/>
  </w:num>
  <w:num w:numId="12">
    <w:abstractNumId w:val="9"/>
  </w:num>
  <w:num w:numId="13">
    <w:abstractNumId w:val="17"/>
  </w:num>
  <w:num w:numId="14">
    <w:abstractNumId w:val="16"/>
  </w:num>
  <w:num w:numId="15">
    <w:abstractNumId w:val="14"/>
  </w:num>
  <w:num w:numId="16">
    <w:abstractNumId w:val="18"/>
  </w:num>
  <w:num w:numId="17">
    <w:abstractNumId w:val="11"/>
  </w:num>
  <w:num w:numId="18">
    <w:abstractNumId w:val="12"/>
  </w:num>
  <w:num w:numId="19">
    <w:abstractNumId w:val="10"/>
  </w:num>
  <w:num w:numId="20">
    <w:abstractNumId w:val="19"/>
  </w:num>
  <w:num w:numId="21">
    <w:abstractNumId w:val="27"/>
  </w:num>
  <w:num w:numId="22">
    <w:abstractNumId w:val="25"/>
  </w:num>
  <w:num w:numId="23">
    <w:abstractNumId w:val="4"/>
  </w:num>
  <w:num w:numId="24">
    <w:abstractNumId w:val="23"/>
  </w:num>
  <w:num w:numId="25">
    <w:abstractNumId w:val="7"/>
  </w:num>
  <w:num w:numId="26">
    <w:abstractNumId w:val="26"/>
  </w:num>
  <w:num w:numId="27">
    <w:abstractNumId w:val="2"/>
  </w:num>
  <w:num w:numId="2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3F64"/>
    <w:rsid w:val="00094864"/>
    <w:rsid w:val="00094F79"/>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3555E"/>
    <w:rsid w:val="00240026"/>
    <w:rsid w:val="0024289D"/>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4CDF"/>
    <w:rsid w:val="002D66FD"/>
    <w:rsid w:val="002E1207"/>
    <w:rsid w:val="002E208A"/>
    <w:rsid w:val="002E6185"/>
    <w:rsid w:val="002E742A"/>
    <w:rsid w:val="002F2B43"/>
    <w:rsid w:val="00304D9E"/>
    <w:rsid w:val="00305729"/>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5CFD"/>
    <w:rsid w:val="0041687F"/>
    <w:rsid w:val="0042644C"/>
    <w:rsid w:val="004305E6"/>
    <w:rsid w:val="00431F06"/>
    <w:rsid w:val="0043495B"/>
    <w:rsid w:val="00437111"/>
    <w:rsid w:val="00440D77"/>
    <w:rsid w:val="00444EA8"/>
    <w:rsid w:val="004575FF"/>
    <w:rsid w:val="00467402"/>
    <w:rsid w:val="00471E93"/>
    <w:rsid w:val="00472E4F"/>
    <w:rsid w:val="004730EF"/>
    <w:rsid w:val="00477CDF"/>
    <w:rsid w:val="00482873"/>
    <w:rsid w:val="00483217"/>
    <w:rsid w:val="00491B85"/>
    <w:rsid w:val="00496D91"/>
    <w:rsid w:val="004A167B"/>
    <w:rsid w:val="004A5272"/>
    <w:rsid w:val="004B0CB1"/>
    <w:rsid w:val="004B67BA"/>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83E97"/>
    <w:rsid w:val="00694675"/>
    <w:rsid w:val="006948CC"/>
    <w:rsid w:val="0069529C"/>
    <w:rsid w:val="006970DF"/>
    <w:rsid w:val="006A0ECA"/>
    <w:rsid w:val="006A3697"/>
    <w:rsid w:val="006A56BF"/>
    <w:rsid w:val="006B4244"/>
    <w:rsid w:val="006B5CE3"/>
    <w:rsid w:val="006C331E"/>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59D3"/>
    <w:rsid w:val="007A4B5E"/>
    <w:rsid w:val="007A7B86"/>
    <w:rsid w:val="007B2579"/>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0184"/>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0C1C"/>
    <w:rsid w:val="00A41CF1"/>
    <w:rsid w:val="00A455B3"/>
    <w:rsid w:val="00A45F0A"/>
    <w:rsid w:val="00A47841"/>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388C"/>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16A7C"/>
    <w:rsid w:val="00C2157E"/>
    <w:rsid w:val="00C25EB1"/>
    <w:rsid w:val="00C31E76"/>
    <w:rsid w:val="00C34FDE"/>
    <w:rsid w:val="00C350ED"/>
    <w:rsid w:val="00C35694"/>
    <w:rsid w:val="00C35E48"/>
    <w:rsid w:val="00C45ABA"/>
    <w:rsid w:val="00C60F95"/>
    <w:rsid w:val="00C6552F"/>
    <w:rsid w:val="00C71B3B"/>
    <w:rsid w:val="00C76EE0"/>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60F65"/>
    <w:rsid w:val="00D75896"/>
    <w:rsid w:val="00D93ADC"/>
    <w:rsid w:val="00D95729"/>
    <w:rsid w:val="00DA0CFA"/>
    <w:rsid w:val="00DA2351"/>
    <w:rsid w:val="00DA39CA"/>
    <w:rsid w:val="00DA4453"/>
    <w:rsid w:val="00DA4F42"/>
    <w:rsid w:val="00DB5676"/>
    <w:rsid w:val="00DC062E"/>
    <w:rsid w:val="00DC1DC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FCDC-216A-4048-ADB7-E396F3F2BD1F}">
  <ds:schemaRefs>
    <ds:schemaRef ds:uri="http://schemas.openxmlformats.org/officeDocument/2006/bibliography"/>
  </ds:schemaRefs>
</ds:datastoreItem>
</file>

<file path=customXml/itemProps2.xml><?xml version="1.0" encoding="utf-8"?>
<ds:datastoreItem xmlns:ds="http://schemas.openxmlformats.org/officeDocument/2006/customXml" ds:itemID="{70B3357D-296B-4A76-8749-D05557C3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3373</Words>
  <Characters>19227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3</cp:revision>
  <cp:lastPrinted>2013-02-13T12:06:00Z</cp:lastPrinted>
  <dcterms:created xsi:type="dcterms:W3CDTF">2013-04-24T11:22:00Z</dcterms:created>
  <dcterms:modified xsi:type="dcterms:W3CDTF">2013-04-24T14:23:00Z</dcterms:modified>
</cp:coreProperties>
</file>