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CD" w:rsidRDefault="0042214F" w:rsidP="000F24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The </w:t>
      </w:r>
      <w:r w:rsidR="004164CD" w:rsidRPr="004164C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S</w:t>
      </w:r>
      <w:r w:rsidR="00625480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kolkovo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 Initiative</w:t>
      </w:r>
    </w:p>
    <w:p w:rsidR="00CE7610" w:rsidRPr="004164CD" w:rsidRDefault="00CE7610" w:rsidP="000F24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</w:p>
    <w:p w:rsidR="000F2C21" w:rsidRDefault="00625480" w:rsidP="000F2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</w:t>
      </w:r>
      <w:r w:rsidR="009353F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he </w:t>
      </w:r>
      <w:r w:rsidR="000F2C21" w:rsidRPr="000F2C2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Skolkovo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(SK)</w:t>
      </w:r>
      <w:r w:rsidR="009B36B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9353F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initiative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unites </w:t>
      </w:r>
      <w:r w:rsidR="000F2C2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five technology clusters: Energy, IT, Biomedical, Space and Nuclear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which</w:t>
      </w:r>
      <w:r w:rsidR="00C5211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754B6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together</w:t>
      </w:r>
      <w:r w:rsidR="0074015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0F2C2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reflect the five modernization priorities</w:t>
      </w:r>
      <w:r w:rsidR="00C5211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of the Russian state.</w:t>
      </w:r>
    </w:p>
    <w:p w:rsidR="00740151" w:rsidRDefault="00740151" w:rsidP="000F2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740151" w:rsidRDefault="0014681A" w:rsidP="0074015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vision of </w:t>
      </w:r>
      <w:r w:rsidR="00100CB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Skolkovo Biomedical </w:t>
      </w:r>
      <w:r w:rsidR="0042214F">
        <w:rPr>
          <w:rFonts w:ascii="Times New Roman" w:hAnsi="Times New Roman" w:cs="Times New Roman"/>
          <w:sz w:val="24"/>
          <w:szCs w:val="24"/>
          <w:lang w:val="en-US"/>
        </w:rPr>
        <w:t xml:space="preserve">cluster </w:t>
      </w:r>
      <w:r>
        <w:rPr>
          <w:rFonts w:ascii="Times New Roman" w:hAnsi="Times New Roman" w:cs="Times New Roman"/>
          <w:sz w:val="24"/>
          <w:szCs w:val="24"/>
          <w:lang w:val="en-US"/>
        </w:rPr>
        <w:t>is to create a b</w:t>
      </w:r>
      <w:r w:rsidRPr="00E531F3">
        <w:rPr>
          <w:rFonts w:ascii="Times New Roman" w:hAnsi="Times New Roman" w:cs="Times New Roman"/>
          <w:sz w:val="24"/>
          <w:szCs w:val="24"/>
          <w:lang w:val="en-US"/>
        </w:rPr>
        <w:t>iotechnology and medical 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ecosystem (BMT) which will enable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cutting edge scientific research as well as drug and medical equipment development and will establish Russia as a global </w:t>
      </w:r>
      <w:r w:rsidR="00CE389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life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science</w:t>
      </w:r>
      <w:r w:rsidR="00CE389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hub. </w:t>
      </w:r>
    </w:p>
    <w:p w:rsidR="00740151" w:rsidRPr="0014681A" w:rsidRDefault="00740151" w:rsidP="0074015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achieve this ambitious goal BMT offers an array of services to its members such as:</w:t>
      </w:r>
    </w:p>
    <w:p w:rsidR="00FE6E6D" w:rsidRDefault="00A878F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8F4">
        <w:rPr>
          <w:rFonts w:ascii="Times New Roman" w:hAnsi="Times New Roman" w:cs="Times New Roman"/>
          <w:sz w:val="24"/>
          <w:szCs w:val="24"/>
          <w:lang w:val="en-US"/>
        </w:rPr>
        <w:t xml:space="preserve">Training and educational programs, </w:t>
      </w:r>
    </w:p>
    <w:p w:rsidR="00FE6E6D" w:rsidRDefault="00A878F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8F4">
        <w:rPr>
          <w:rFonts w:ascii="Times New Roman" w:hAnsi="Times New Roman" w:cs="Times New Roman"/>
          <w:sz w:val="24"/>
          <w:szCs w:val="24"/>
          <w:lang w:val="en-US"/>
        </w:rPr>
        <w:t xml:space="preserve">An excellent infrastructure link for Centers for Shared Facilities (CSF), Centers of Excellence, R&amp;D Centers and key partners , </w:t>
      </w:r>
    </w:p>
    <w:p w:rsidR="00FE6E6D" w:rsidRDefault="00A878F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8F4">
        <w:rPr>
          <w:rFonts w:ascii="Times New Roman" w:hAnsi="Times New Roman" w:cs="Times New Roman"/>
          <w:sz w:val="24"/>
          <w:szCs w:val="24"/>
          <w:lang w:val="en-US"/>
        </w:rPr>
        <w:t xml:space="preserve">A community of BMT residents (project companies and Association of biomedical and pharmaceutical clusters), </w:t>
      </w:r>
    </w:p>
    <w:p w:rsidR="00FE6E6D" w:rsidRDefault="00A878F4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8F4">
        <w:rPr>
          <w:rFonts w:ascii="Times New Roman" w:hAnsi="Times New Roman" w:cs="Times New Roman"/>
          <w:sz w:val="24"/>
          <w:szCs w:val="24"/>
          <w:lang w:val="en-US"/>
        </w:rPr>
        <w:t>Institutes of commercialization (business incubators, venture capital funds, strategic industrial investors, institutional partners and experts) and lastly</w:t>
      </w:r>
      <w:r w:rsidR="00EF7B1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E6E6D" w:rsidRDefault="00A878F4">
      <w:pPr>
        <w:pStyle w:val="a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A878F4">
        <w:rPr>
          <w:rFonts w:ascii="Times New Roman" w:hAnsi="Times New Roman" w:cs="Times New Roman"/>
          <w:sz w:val="24"/>
          <w:szCs w:val="24"/>
          <w:lang w:val="en-US"/>
        </w:rPr>
        <w:t>A committed regulatory environment.</w:t>
      </w:r>
      <w:r w:rsidRPr="00A878F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</w:p>
    <w:p w:rsidR="00100CBE" w:rsidRDefault="00740151" w:rsidP="00100C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BMT encompasses four strategic pillars in </w:t>
      </w:r>
      <w:r w:rsidR="00100CBE" w:rsidRPr="000F2C2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fields</w:t>
      </w:r>
      <w:r w:rsidR="00100C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of clinical medicine and healthcare, biomedical and life sciences, bio-informatics and industrial biotechnology.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Priorities within these fields have been chosen after careful evaluation of feasibility and attractiveness in order to accommodate both the capabilities of Skolkovo and the needs of the global market. </w:t>
      </w:r>
    </w:p>
    <w:p w:rsidR="00EB0CAE" w:rsidRPr="00004365" w:rsidRDefault="00EB0CAE" w:rsidP="00EB0C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004365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Clinical Medicine and Healthcare</w:t>
      </w:r>
    </w:p>
    <w:p w:rsidR="000C67B4" w:rsidRDefault="00EB0CAE" w:rsidP="00EB0C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187E8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major goal of this area is the development,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implementation and commercialization of Russian technologies and transfer of medical technologies fr</w:t>
      </w:r>
      <w:r w:rsidR="000C67B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om abroad. The focus will be on: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new healthcare methods and technolog</w:t>
      </w:r>
      <w:r w:rsidR="000C67B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ies targeting the “big killers”, IT in clinical medicine, Medtech as well as personalized,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preventive </w:t>
      </w:r>
      <w:r w:rsidR="000C67B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and nuclear </w:t>
      </w:r>
      <w:r w:rsidR="00815D8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medicine. </w:t>
      </w:r>
    </w:p>
    <w:p w:rsidR="00815D8A" w:rsidRPr="00C12499" w:rsidRDefault="00815D8A" w:rsidP="00815D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Three centers will investigate new cell technologies in regenerative medicine, develop new therapeutic vaccines and immunotherapeutics and conduct research in the area of gene therapy</w:t>
      </w:r>
      <w:r w:rsid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  <w:r w:rsidR="00C12499" w:rsidRP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Based on the existing structures and the</w:t>
      </w:r>
      <w:r w:rsidR="0074015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promising</w:t>
      </w:r>
      <w:r w:rsid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project pipeline first pre-clinical trials</w:t>
      </w:r>
      <w:r w:rsidR="00EF7B1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C12499" w:rsidRP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are</w:t>
      </w:r>
      <w:r w:rsidR="00C12499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 </w:t>
      </w:r>
      <w:r w:rsid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expected</w:t>
      </w:r>
      <w:r w:rsidR="0074015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to result from these </w:t>
      </w:r>
      <w:r w:rsidR="0086390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initiatives.</w:t>
      </w:r>
    </w:p>
    <w:p w:rsidR="00863906" w:rsidRDefault="00815D8A" w:rsidP="00815D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fo</w:t>
      </w:r>
      <w:r w:rsidR="00C1249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cus 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 area of preventive medicine is the development of new vaccines and screening methods where a very high ratio in return on investment can be expected. Strong global demand in neurosciences and virtual reality will be the driver of IT in clinical medicine. </w:t>
      </w:r>
    </w:p>
    <w:p w:rsidR="00815D8A" w:rsidRDefault="00815D8A" w:rsidP="00815D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areas of preventive medicine, IT in clinical medicine</w:t>
      </w:r>
      <w:r w:rsidR="0086390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development of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medical equipment and devices </w:t>
      </w:r>
      <w:r w:rsidR="0086390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are tackled by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ten project companies.</w:t>
      </w:r>
    </w:p>
    <w:p w:rsidR="00EB0CAE" w:rsidRDefault="00863906" w:rsidP="00EB0C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lastRenderedPageBreak/>
        <w:t xml:space="preserve">The </w:t>
      </w:r>
      <w:r w:rsidR="00EB0CA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identification of clinical biomarkers, new biochips, companion diagnostics new proton, neutron and other radiotherapies</w:t>
      </w:r>
      <w:r w:rsidRPr="0086390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are the main aims within the personalized and nuclear medicine unit</w:t>
      </w:r>
      <w:r w:rsidR="00EB0CA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  <w:r w:rsidR="00056985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C54D9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Research is conducted in three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specialized </w:t>
      </w:r>
      <w:r w:rsidR="00C54D9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centers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within three major projects.</w:t>
      </w:r>
    </w:p>
    <w:p w:rsidR="00EB0CAE" w:rsidRPr="00EF7B11" w:rsidRDefault="00A878F4" w:rsidP="00EB0CA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A878F4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Biomedicine and Life sciences</w:t>
      </w:r>
    </w:p>
    <w:p w:rsidR="00EB0CAE" w:rsidRDefault="00EB0CAE" w:rsidP="00EB0CA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3221A8" w:rsidRDefault="00EB0CAE" w:rsidP="00EB0CA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</w:t>
      </w:r>
      <w:r w:rsidR="00E75DA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ey objective in</w:t>
      </w:r>
      <w:r w:rsidR="00E75DA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this category 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is the </w:t>
      </w:r>
      <w:r w:rsidR="0023662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successfu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</w:t>
      </w:r>
      <w:r w:rsidR="0023662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transition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of new pharmaceuticals, drug delivery systems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and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molecular diagnostics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from the stage of development to th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 stage of medicine production. Furthermore, the independence of the Russian pharmaceutical industry should be warranted. </w:t>
      </w:r>
      <w:r w:rsidR="003221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Twenty 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projects in</w:t>
      </w:r>
      <w:r w:rsidR="003221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six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centers </w:t>
      </w:r>
      <w:r w:rsidR="003221A8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and three companies </w:t>
      </w:r>
      <w:r w:rsidR="00E465C4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are dedicated to this work.</w:t>
      </w:r>
    </w:p>
    <w:p w:rsidR="003221A8" w:rsidRDefault="003221A8" w:rsidP="00EB0CA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EB0CAE" w:rsidRPr="00EF7B11" w:rsidRDefault="00A878F4" w:rsidP="00EB0CA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A878F4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Bio-Informatics</w:t>
      </w:r>
    </w:p>
    <w:p w:rsidR="007816FD" w:rsidRDefault="00EB0CAE" w:rsidP="00EB0C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development of infrastructure and new computing techniques, as well as knowledge management and planning of biological and clinical experiments are the major goals of this foresight.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igh throughput data analysis, computer aided drug design, image analysis and 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research in the area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systems biology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are 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core elements 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this category. 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Computer-aided drug design will be used for virtual screening techniques, lead-optimization and modeling of biomolecular structures. Systems biology will investigate molecular biomarkers, pathways and network modeling as well as virtual organisms. Four</w:t>
      </w:r>
      <w:r w:rsidR="007116A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centers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are </w:t>
      </w:r>
      <w:r w:rsidR="00222AB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engaged in these research areas.</w:t>
      </w:r>
    </w:p>
    <w:p w:rsidR="00EB0CAE" w:rsidRPr="00EF7B11" w:rsidRDefault="00A878F4" w:rsidP="00EB0CA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A878F4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Industrial biotechnology</w:t>
      </w:r>
    </w:p>
    <w:p w:rsidR="00C52118" w:rsidRPr="000F2C21" w:rsidRDefault="006C5717" w:rsidP="000F2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major goals of the industrial biotechnology foresight are advances in the production of medicines, bioremediation and biodegradation and development of waste processing technologies. </w:t>
      </w:r>
      <w:r w:rsidR="00EB0CAE" w:rsidRPr="007F25D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modernization of waste control and remediation </w:t>
      </w:r>
      <w:r w:rsidR="004A203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as well as the</w:t>
      </w:r>
      <w:r w:rsidR="004A2036" w:rsidRPr="007F25D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need to comply with worldwide regulations regarding the eco-matters </w:t>
      </w:r>
      <w:r w:rsidR="00EB0CAE" w:rsidRPr="007F25D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is one of the top gove</w:t>
      </w:r>
      <w:r w:rsidR="004A203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rnmental priorities. </w:t>
      </w:r>
      <w:r w:rsidR="00EB0CAE" w:rsidRPr="007F25D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green-tech modernization of industrial production is </w:t>
      </w:r>
      <w:proofErr w:type="gramStart"/>
      <w:r w:rsidR="004A203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key</w:t>
      </w:r>
      <w:proofErr w:type="gramEnd"/>
      <w:r w:rsidR="004A203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for Russia’s</w:t>
      </w:r>
      <w:r w:rsidR="007816FD" w:rsidRPr="007816F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7816F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intent to accelerate its entry into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world trade </w:t>
      </w:r>
      <w:r w:rsidR="007816F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organization (WTO).</w:t>
      </w:r>
      <w:r w:rsidR="007816FD" w:rsidRPr="007F25D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 total six projects and one center are dedicated to the modernization of waste control and remediation.</w:t>
      </w:r>
    </w:p>
    <w:p w:rsidR="00A4208F" w:rsidRPr="00350768" w:rsidRDefault="00A4208F" w:rsidP="000F24B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350768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Cluster Cooperations</w:t>
      </w:r>
    </w:p>
    <w:p w:rsidR="00286C31" w:rsidRPr="000F2C21" w:rsidRDefault="000F24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</w:t>
      </w:r>
      <w:r w:rsidR="00DF47C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BMT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cluster network is supported by several cooperations with</w:t>
      </w:r>
      <w:r w:rsidR="00352B2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the Russian federation</w:t>
      </w:r>
      <w:r w:rsidR="00352B2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in particular by the ministry of health and social development, the ministry of industry and trade and the ministry of economic development.</w:t>
      </w:r>
      <w:r w:rsidR="008B775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Furthermore, cooperation</w:t>
      </w:r>
      <w:r w:rsidR="00BF019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 with industrial partners like RVC, RUSNANO and EMBL as well as</w:t>
      </w:r>
      <w:r w:rsidR="003211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partnerships with regional biomedicine and biopharmaceutical clusters e.g. the biopharmcluster Severny and the Ural- and the Kalugsky pharmcluster</w:t>
      </w:r>
      <w:r w:rsidR="00DF47C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are established</w:t>
      </w:r>
      <w:r w:rsidR="003211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  <w:r w:rsidR="00DF47C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</w:p>
    <w:sectPr w:rsidR="00286C31" w:rsidRPr="000F2C21" w:rsidSect="00AA5F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545"/>
    <w:multiLevelType w:val="multilevel"/>
    <w:tmpl w:val="9D2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369A4"/>
    <w:multiLevelType w:val="multilevel"/>
    <w:tmpl w:val="253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F0A3F"/>
    <w:multiLevelType w:val="multilevel"/>
    <w:tmpl w:val="ADBA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E19A5"/>
    <w:multiLevelType w:val="hybridMultilevel"/>
    <w:tmpl w:val="01E4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A3AFD"/>
    <w:multiLevelType w:val="multilevel"/>
    <w:tmpl w:val="9D04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21"/>
    <w:rsid w:val="00004365"/>
    <w:rsid w:val="000349DB"/>
    <w:rsid w:val="00056985"/>
    <w:rsid w:val="00057035"/>
    <w:rsid w:val="00067CC0"/>
    <w:rsid w:val="00095736"/>
    <w:rsid w:val="000C67B4"/>
    <w:rsid w:val="000F24B8"/>
    <w:rsid w:val="000F2C21"/>
    <w:rsid w:val="00100CBE"/>
    <w:rsid w:val="00126C1B"/>
    <w:rsid w:val="0014681A"/>
    <w:rsid w:val="001504DB"/>
    <w:rsid w:val="00150526"/>
    <w:rsid w:val="00150F1A"/>
    <w:rsid w:val="001724AE"/>
    <w:rsid w:val="00187E81"/>
    <w:rsid w:val="00204B4E"/>
    <w:rsid w:val="00222ABE"/>
    <w:rsid w:val="00230EEC"/>
    <w:rsid w:val="00236623"/>
    <w:rsid w:val="00281CDA"/>
    <w:rsid w:val="002933DF"/>
    <w:rsid w:val="002F6DAD"/>
    <w:rsid w:val="003211DF"/>
    <w:rsid w:val="003221A8"/>
    <w:rsid w:val="00350768"/>
    <w:rsid w:val="00352B2A"/>
    <w:rsid w:val="00377D0C"/>
    <w:rsid w:val="003F01CF"/>
    <w:rsid w:val="004164CD"/>
    <w:rsid w:val="0042214F"/>
    <w:rsid w:val="004A2036"/>
    <w:rsid w:val="004F4968"/>
    <w:rsid w:val="005362C5"/>
    <w:rsid w:val="005819E5"/>
    <w:rsid w:val="005E6F8B"/>
    <w:rsid w:val="006025FF"/>
    <w:rsid w:val="00625480"/>
    <w:rsid w:val="006C5717"/>
    <w:rsid w:val="007116A1"/>
    <w:rsid w:val="0072092A"/>
    <w:rsid w:val="00740151"/>
    <w:rsid w:val="00741F3B"/>
    <w:rsid w:val="00754B64"/>
    <w:rsid w:val="0075510F"/>
    <w:rsid w:val="00770E4D"/>
    <w:rsid w:val="007816FD"/>
    <w:rsid w:val="007930D4"/>
    <w:rsid w:val="007D29B3"/>
    <w:rsid w:val="007F0090"/>
    <w:rsid w:val="007F25D6"/>
    <w:rsid w:val="00815D8A"/>
    <w:rsid w:val="00823F79"/>
    <w:rsid w:val="008378B3"/>
    <w:rsid w:val="00863906"/>
    <w:rsid w:val="00887B13"/>
    <w:rsid w:val="00890F50"/>
    <w:rsid w:val="008B7752"/>
    <w:rsid w:val="008C3E58"/>
    <w:rsid w:val="009353FD"/>
    <w:rsid w:val="009B211A"/>
    <w:rsid w:val="009B36B1"/>
    <w:rsid w:val="00A05FE8"/>
    <w:rsid w:val="00A35E1C"/>
    <w:rsid w:val="00A413DC"/>
    <w:rsid w:val="00A4208F"/>
    <w:rsid w:val="00A80E56"/>
    <w:rsid w:val="00A878F4"/>
    <w:rsid w:val="00AA5F7B"/>
    <w:rsid w:val="00AC41F7"/>
    <w:rsid w:val="00B70CA3"/>
    <w:rsid w:val="00B74D7F"/>
    <w:rsid w:val="00B97BA5"/>
    <w:rsid w:val="00BC5B4B"/>
    <w:rsid w:val="00BD17F0"/>
    <w:rsid w:val="00BF0193"/>
    <w:rsid w:val="00C12499"/>
    <w:rsid w:val="00C234F1"/>
    <w:rsid w:val="00C52118"/>
    <w:rsid w:val="00C54D97"/>
    <w:rsid w:val="00C62A17"/>
    <w:rsid w:val="00C85BFC"/>
    <w:rsid w:val="00CD393C"/>
    <w:rsid w:val="00CE389B"/>
    <w:rsid w:val="00CE7610"/>
    <w:rsid w:val="00D11A35"/>
    <w:rsid w:val="00D36372"/>
    <w:rsid w:val="00DD3807"/>
    <w:rsid w:val="00DF47CF"/>
    <w:rsid w:val="00E15DD3"/>
    <w:rsid w:val="00E35C9A"/>
    <w:rsid w:val="00E465C4"/>
    <w:rsid w:val="00E47970"/>
    <w:rsid w:val="00E531F3"/>
    <w:rsid w:val="00E57846"/>
    <w:rsid w:val="00E666F1"/>
    <w:rsid w:val="00E75DAD"/>
    <w:rsid w:val="00E954D4"/>
    <w:rsid w:val="00EB0CAE"/>
    <w:rsid w:val="00EC0C46"/>
    <w:rsid w:val="00EE1618"/>
    <w:rsid w:val="00EF7B11"/>
    <w:rsid w:val="00F5699C"/>
    <w:rsid w:val="00FB271E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Hyperlink"/>
    <w:basedOn w:val="a0"/>
    <w:uiPriority w:val="99"/>
    <w:semiHidden/>
    <w:unhideWhenUsed/>
    <w:rsid w:val="000F2C21"/>
    <w:rPr>
      <w:color w:val="0000FF"/>
      <w:u w:val="single"/>
    </w:rPr>
  </w:style>
  <w:style w:type="character" w:styleId="a5">
    <w:name w:val="Strong"/>
    <w:basedOn w:val="a0"/>
    <w:uiPriority w:val="22"/>
    <w:qFormat/>
    <w:rsid w:val="000F2C21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531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531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531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31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531F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F3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625480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EF7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Hyperlink"/>
    <w:basedOn w:val="a0"/>
    <w:uiPriority w:val="99"/>
    <w:semiHidden/>
    <w:unhideWhenUsed/>
    <w:rsid w:val="000F2C21"/>
    <w:rPr>
      <w:color w:val="0000FF"/>
      <w:u w:val="single"/>
    </w:rPr>
  </w:style>
  <w:style w:type="character" w:styleId="a5">
    <w:name w:val="Strong"/>
    <w:basedOn w:val="a0"/>
    <w:uiPriority w:val="22"/>
    <w:qFormat/>
    <w:rsid w:val="000F2C21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531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531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531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31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531F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F3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625480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EF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0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2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Burson-Marsteller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Kolomenskaya Polina</cp:lastModifiedBy>
  <cp:revision>2</cp:revision>
  <dcterms:created xsi:type="dcterms:W3CDTF">2011-12-23T09:02:00Z</dcterms:created>
  <dcterms:modified xsi:type="dcterms:W3CDTF">2011-12-23T09:02:00Z</dcterms:modified>
</cp:coreProperties>
</file>